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E3" w:rsidRDefault="00C914E3" w:rsidP="00696FF3">
      <w:pPr>
        <w:pStyle w:val="Heading1"/>
      </w:pPr>
      <w:bookmarkStart w:id="0" w:name="_GoBack"/>
      <w:bookmarkEnd w:id="0"/>
      <w:r>
        <w:t>OPASNET: Sedimenttien ekologinen riskinarviointi</w:t>
      </w:r>
    </w:p>
    <w:p w:rsidR="00C914E3" w:rsidRDefault="00C914E3" w:rsidP="003A6131">
      <w:pPr>
        <w:jc w:val="both"/>
      </w:pPr>
    </w:p>
    <w:p w:rsidR="00C914E3" w:rsidRPr="00C914E3" w:rsidRDefault="00C914E3" w:rsidP="00696FF3">
      <w:pPr>
        <w:pStyle w:val="Heading1"/>
      </w:pPr>
      <w:r w:rsidRPr="00C914E3">
        <w:t>Kysymys</w:t>
      </w:r>
    </w:p>
    <w:p w:rsidR="0027242B" w:rsidRDefault="0027242B" w:rsidP="003A6131">
      <w:pPr>
        <w:jc w:val="both"/>
      </w:pPr>
      <w:r>
        <w:t>Miten ympäristön ja eliöiden metalliriskien luonnehdinta toteutetaan sedimenteille? Mitä la</w:t>
      </w:r>
      <w:r>
        <w:t>s</w:t>
      </w:r>
      <w:r>
        <w:t>kentakaavoja käytetään numeeriseen laskentaan? Miten riskin suuruus päätellään ja arvio</w:t>
      </w:r>
      <w:r>
        <w:t>i</w:t>
      </w:r>
      <w:r>
        <w:t>daan?</w:t>
      </w:r>
    </w:p>
    <w:p w:rsidR="00696FF3" w:rsidRDefault="00696FF3" w:rsidP="003A6131">
      <w:pPr>
        <w:jc w:val="both"/>
      </w:pPr>
    </w:p>
    <w:p w:rsidR="00C914E3" w:rsidRPr="00C914E3" w:rsidRDefault="00C914E3" w:rsidP="00696FF3">
      <w:pPr>
        <w:pStyle w:val="Heading1"/>
      </w:pPr>
      <w:r w:rsidRPr="00C914E3">
        <w:t>Vastaus</w:t>
      </w:r>
    </w:p>
    <w:p w:rsidR="00C914E3" w:rsidRPr="00F938B1" w:rsidRDefault="00C914E3" w:rsidP="003A6131">
      <w:pPr>
        <w:jc w:val="both"/>
      </w:pPr>
      <w:r w:rsidRPr="00F938B1">
        <w:t>Alla esitetään vaiheittain etenevä arviointi menettely, jossa riskit tunnistetaan, määritetään ja kuvataan sekä arvioidaan niiden hyväksyttävyys. Tämän arviointi menettelyn vaiheet ovat (1) perusarviointi ja (</w:t>
      </w:r>
      <w:r w:rsidR="00011F5A">
        <w:t>2</w:t>
      </w:r>
      <w:r w:rsidRPr="00F938B1">
        <w:t xml:space="preserve">) tarkennettu arviointi. </w:t>
      </w:r>
    </w:p>
    <w:p w:rsidR="00C914E3" w:rsidRDefault="00C914E3" w:rsidP="003A6131">
      <w:pPr>
        <w:jc w:val="both"/>
      </w:pPr>
    </w:p>
    <w:p w:rsidR="003471C1" w:rsidRDefault="003471C1" w:rsidP="00696FF3">
      <w:pPr>
        <w:pStyle w:val="Heading1"/>
      </w:pPr>
      <w:r>
        <w:t>1. Perusarviointi</w:t>
      </w:r>
    </w:p>
    <w:p w:rsidR="003471C1" w:rsidRDefault="003471C1" w:rsidP="00696FF3">
      <w:pPr>
        <w:pStyle w:val="Heading2"/>
      </w:pPr>
      <w:r>
        <w:t>1.1 Vaaranarviointi ruoppaus- ja läjitysmassojen laatukriteereiden perusteella</w:t>
      </w:r>
    </w:p>
    <w:p w:rsidR="003A6131" w:rsidRDefault="003471C1" w:rsidP="003A6131">
      <w:pPr>
        <w:jc w:val="both"/>
      </w:pPr>
      <w:r>
        <w:t>Sedimenttien metallipitoisuuksien raja-arvoina voidaan soveltaa ympäristöministeriön ohjetta ruoppaus ja läjitysmassojen laatukriteereistä [1]. Sedimentin haitta-ainepitoisuudet normaliso</w:t>
      </w:r>
      <w:r>
        <w:t>i</w:t>
      </w:r>
      <w:r>
        <w:t>daan standardisedimentin pitoisuuksiksi ja verr</w:t>
      </w:r>
      <w:r w:rsidR="005830CA">
        <w:t>ataan ruoppausmassojen laatukri</w:t>
      </w:r>
      <w:r>
        <w:t>teer</w:t>
      </w:r>
      <w:r w:rsidR="005830CA">
        <w:t>e</w:t>
      </w:r>
      <w:r>
        <w:t>ihin t</w:t>
      </w:r>
      <w:r>
        <w:t>a</w:t>
      </w:r>
      <w:r>
        <w:t>soon 1 ja 2 (Taulukko</w:t>
      </w:r>
      <w:r w:rsidR="003A6131">
        <w:t xml:space="preserve"> 1</w:t>
      </w:r>
      <w:r>
        <w:t xml:space="preserve">). </w:t>
      </w:r>
    </w:p>
    <w:p w:rsidR="003471C1" w:rsidRDefault="003471C1" w:rsidP="003A6131">
      <w:pPr>
        <w:jc w:val="both"/>
      </w:pPr>
      <w:r>
        <w:t>Taulukko 1. Ruoppausmassojen laatukriteerit normalisoiduille (korjatuille) metallipitoisuuksille (mg/kg k.a.)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291"/>
        <w:gridCol w:w="2292"/>
        <w:gridCol w:w="2292"/>
      </w:tblGrid>
      <w:tr w:rsidR="003471C1" w:rsidRPr="00497960" w:rsidTr="003471C1">
        <w:tc>
          <w:tcPr>
            <w:tcW w:w="2291" w:type="dxa"/>
            <w:tcBorders>
              <w:bottom w:val="single" w:sz="4" w:space="0" w:color="auto"/>
            </w:tcBorders>
            <w:shd w:val="clear" w:color="auto" w:fill="EEECE1" w:themeFill="background2"/>
          </w:tcPr>
          <w:p w:rsidR="003471C1" w:rsidRPr="00497960" w:rsidRDefault="003471C1" w:rsidP="003A6131">
            <w:pPr>
              <w:jc w:val="both"/>
            </w:pPr>
            <w:r w:rsidRPr="00497960">
              <w:t xml:space="preserve">Aine </w:t>
            </w:r>
          </w:p>
        </w:tc>
        <w:tc>
          <w:tcPr>
            <w:tcW w:w="2291" w:type="dxa"/>
            <w:tcBorders>
              <w:bottom w:val="single" w:sz="4" w:space="0" w:color="auto"/>
            </w:tcBorders>
            <w:shd w:val="clear" w:color="auto" w:fill="EEECE1" w:themeFill="background2"/>
          </w:tcPr>
          <w:p w:rsidR="003471C1" w:rsidRPr="00497960" w:rsidRDefault="003471C1" w:rsidP="003A6131">
            <w:pPr>
              <w:jc w:val="center"/>
            </w:pPr>
            <w:r w:rsidRPr="00497960">
              <w:t>Lyhenne</w:t>
            </w:r>
          </w:p>
        </w:tc>
        <w:tc>
          <w:tcPr>
            <w:tcW w:w="2292" w:type="dxa"/>
            <w:tcBorders>
              <w:bottom w:val="single" w:sz="4" w:space="0" w:color="auto"/>
            </w:tcBorders>
            <w:shd w:val="clear" w:color="auto" w:fill="EEECE1" w:themeFill="background2"/>
          </w:tcPr>
          <w:p w:rsidR="003471C1" w:rsidRPr="00497960" w:rsidRDefault="003471C1" w:rsidP="003A6131">
            <w:pPr>
              <w:jc w:val="center"/>
            </w:pPr>
            <w:r w:rsidRPr="00497960">
              <w:t>Taso 1</w:t>
            </w:r>
          </w:p>
        </w:tc>
        <w:tc>
          <w:tcPr>
            <w:tcW w:w="2292" w:type="dxa"/>
            <w:tcBorders>
              <w:bottom w:val="single" w:sz="4" w:space="0" w:color="auto"/>
            </w:tcBorders>
            <w:shd w:val="clear" w:color="auto" w:fill="EEECE1" w:themeFill="background2"/>
          </w:tcPr>
          <w:p w:rsidR="003471C1" w:rsidRPr="00497960" w:rsidRDefault="003471C1" w:rsidP="003A6131">
            <w:pPr>
              <w:jc w:val="center"/>
            </w:pPr>
            <w:r w:rsidRPr="00497960">
              <w:t>Taso 2</w:t>
            </w:r>
          </w:p>
        </w:tc>
      </w:tr>
      <w:tr w:rsidR="003471C1" w:rsidRPr="00497960" w:rsidTr="003471C1">
        <w:tc>
          <w:tcPr>
            <w:tcW w:w="2291" w:type="dxa"/>
            <w:tcBorders>
              <w:top w:val="single" w:sz="4" w:space="0" w:color="auto"/>
            </w:tcBorders>
          </w:tcPr>
          <w:p w:rsidR="003471C1" w:rsidRPr="00497960" w:rsidRDefault="003471C1" w:rsidP="003A6131">
            <w:pPr>
              <w:jc w:val="both"/>
            </w:pPr>
            <w:r w:rsidRPr="00497960">
              <w:t xml:space="preserve">Elohopea </w:t>
            </w:r>
          </w:p>
        </w:tc>
        <w:tc>
          <w:tcPr>
            <w:tcW w:w="2291" w:type="dxa"/>
            <w:tcBorders>
              <w:top w:val="single" w:sz="4" w:space="0" w:color="auto"/>
            </w:tcBorders>
          </w:tcPr>
          <w:p w:rsidR="003471C1" w:rsidRPr="00497960" w:rsidRDefault="003471C1" w:rsidP="003A6131">
            <w:pPr>
              <w:jc w:val="center"/>
            </w:pPr>
            <w:r w:rsidRPr="00497960">
              <w:t>Hg</w:t>
            </w:r>
          </w:p>
        </w:tc>
        <w:tc>
          <w:tcPr>
            <w:tcW w:w="2292" w:type="dxa"/>
            <w:tcBorders>
              <w:top w:val="single" w:sz="4" w:space="0" w:color="auto"/>
            </w:tcBorders>
          </w:tcPr>
          <w:p w:rsidR="003471C1" w:rsidRPr="00497960" w:rsidRDefault="003471C1" w:rsidP="003A6131">
            <w:pPr>
              <w:jc w:val="center"/>
            </w:pPr>
            <w:r w:rsidRPr="00497960">
              <w:t>0.1</w:t>
            </w:r>
          </w:p>
        </w:tc>
        <w:tc>
          <w:tcPr>
            <w:tcW w:w="2292" w:type="dxa"/>
            <w:tcBorders>
              <w:top w:val="single" w:sz="4" w:space="0" w:color="auto"/>
            </w:tcBorders>
          </w:tcPr>
          <w:p w:rsidR="003471C1" w:rsidRPr="00497960" w:rsidRDefault="003471C1" w:rsidP="003A6131">
            <w:pPr>
              <w:jc w:val="center"/>
            </w:pPr>
            <w:r w:rsidRPr="00497960">
              <w:t>1</w:t>
            </w:r>
          </w:p>
        </w:tc>
      </w:tr>
      <w:tr w:rsidR="003471C1" w:rsidRPr="00497960" w:rsidTr="003471C1">
        <w:tc>
          <w:tcPr>
            <w:tcW w:w="2291" w:type="dxa"/>
          </w:tcPr>
          <w:p w:rsidR="003471C1" w:rsidRPr="00497960" w:rsidRDefault="003471C1" w:rsidP="003A6131">
            <w:pPr>
              <w:jc w:val="both"/>
            </w:pPr>
            <w:r w:rsidRPr="00497960">
              <w:t>Kadmium</w:t>
            </w:r>
          </w:p>
        </w:tc>
        <w:tc>
          <w:tcPr>
            <w:tcW w:w="2291" w:type="dxa"/>
          </w:tcPr>
          <w:p w:rsidR="003471C1" w:rsidRPr="00497960" w:rsidRDefault="003471C1" w:rsidP="003A6131">
            <w:pPr>
              <w:jc w:val="center"/>
            </w:pPr>
            <w:r w:rsidRPr="00497960">
              <w:t>Cd</w:t>
            </w:r>
          </w:p>
        </w:tc>
        <w:tc>
          <w:tcPr>
            <w:tcW w:w="2292" w:type="dxa"/>
          </w:tcPr>
          <w:p w:rsidR="003471C1" w:rsidRPr="00497960" w:rsidRDefault="003471C1" w:rsidP="003A6131">
            <w:pPr>
              <w:jc w:val="center"/>
            </w:pPr>
            <w:r w:rsidRPr="00497960">
              <w:t>0.5</w:t>
            </w:r>
          </w:p>
        </w:tc>
        <w:tc>
          <w:tcPr>
            <w:tcW w:w="2292" w:type="dxa"/>
          </w:tcPr>
          <w:p w:rsidR="003471C1" w:rsidRPr="00497960" w:rsidRDefault="003471C1" w:rsidP="003A6131">
            <w:pPr>
              <w:jc w:val="center"/>
            </w:pPr>
            <w:r w:rsidRPr="00497960">
              <w:t>2.5</w:t>
            </w:r>
          </w:p>
        </w:tc>
      </w:tr>
      <w:tr w:rsidR="003471C1" w:rsidRPr="00497960" w:rsidTr="003471C1">
        <w:tc>
          <w:tcPr>
            <w:tcW w:w="2291" w:type="dxa"/>
          </w:tcPr>
          <w:p w:rsidR="003471C1" w:rsidRPr="00497960" w:rsidRDefault="003471C1" w:rsidP="003A6131">
            <w:pPr>
              <w:jc w:val="both"/>
            </w:pPr>
            <w:r w:rsidRPr="00497960">
              <w:t>Kromi</w:t>
            </w:r>
          </w:p>
        </w:tc>
        <w:tc>
          <w:tcPr>
            <w:tcW w:w="2291" w:type="dxa"/>
          </w:tcPr>
          <w:p w:rsidR="003471C1" w:rsidRPr="00497960" w:rsidRDefault="003471C1" w:rsidP="003A6131">
            <w:pPr>
              <w:jc w:val="center"/>
            </w:pPr>
            <w:r w:rsidRPr="00497960">
              <w:t>Cr</w:t>
            </w:r>
          </w:p>
        </w:tc>
        <w:tc>
          <w:tcPr>
            <w:tcW w:w="2292" w:type="dxa"/>
          </w:tcPr>
          <w:p w:rsidR="003471C1" w:rsidRPr="00497960" w:rsidRDefault="003471C1" w:rsidP="003A6131">
            <w:pPr>
              <w:jc w:val="center"/>
            </w:pPr>
            <w:r w:rsidRPr="00497960">
              <w:t>65</w:t>
            </w:r>
          </w:p>
        </w:tc>
        <w:tc>
          <w:tcPr>
            <w:tcW w:w="2292" w:type="dxa"/>
          </w:tcPr>
          <w:p w:rsidR="003471C1" w:rsidRPr="00497960" w:rsidRDefault="003471C1" w:rsidP="003A6131">
            <w:pPr>
              <w:jc w:val="center"/>
            </w:pPr>
            <w:r w:rsidRPr="00497960">
              <w:t>270</w:t>
            </w:r>
          </w:p>
        </w:tc>
      </w:tr>
      <w:tr w:rsidR="003471C1" w:rsidRPr="00497960" w:rsidTr="003471C1">
        <w:tc>
          <w:tcPr>
            <w:tcW w:w="2291" w:type="dxa"/>
          </w:tcPr>
          <w:p w:rsidR="003471C1" w:rsidRPr="00497960" w:rsidRDefault="003471C1" w:rsidP="003A6131">
            <w:pPr>
              <w:jc w:val="both"/>
            </w:pPr>
            <w:r w:rsidRPr="00497960">
              <w:t>Kupari</w:t>
            </w:r>
          </w:p>
        </w:tc>
        <w:tc>
          <w:tcPr>
            <w:tcW w:w="2291" w:type="dxa"/>
          </w:tcPr>
          <w:p w:rsidR="003471C1" w:rsidRPr="00497960" w:rsidRDefault="003471C1" w:rsidP="003A6131">
            <w:pPr>
              <w:jc w:val="center"/>
            </w:pPr>
            <w:r w:rsidRPr="00497960">
              <w:t>Cu</w:t>
            </w:r>
          </w:p>
        </w:tc>
        <w:tc>
          <w:tcPr>
            <w:tcW w:w="2292" w:type="dxa"/>
          </w:tcPr>
          <w:p w:rsidR="003471C1" w:rsidRPr="00497960" w:rsidRDefault="003471C1" w:rsidP="003A6131">
            <w:pPr>
              <w:jc w:val="center"/>
            </w:pPr>
            <w:r w:rsidRPr="00497960">
              <w:t>50</w:t>
            </w:r>
          </w:p>
        </w:tc>
        <w:tc>
          <w:tcPr>
            <w:tcW w:w="2292" w:type="dxa"/>
          </w:tcPr>
          <w:p w:rsidR="003471C1" w:rsidRPr="00497960" w:rsidRDefault="003471C1" w:rsidP="003A6131">
            <w:pPr>
              <w:jc w:val="center"/>
            </w:pPr>
            <w:r w:rsidRPr="00497960">
              <w:t>90</w:t>
            </w:r>
          </w:p>
        </w:tc>
      </w:tr>
      <w:tr w:rsidR="003471C1" w:rsidRPr="00497960" w:rsidTr="003471C1">
        <w:tc>
          <w:tcPr>
            <w:tcW w:w="2291" w:type="dxa"/>
          </w:tcPr>
          <w:p w:rsidR="003471C1" w:rsidRPr="00497960" w:rsidRDefault="003471C1" w:rsidP="003A6131">
            <w:pPr>
              <w:jc w:val="both"/>
            </w:pPr>
            <w:r w:rsidRPr="00497960">
              <w:t>Lyijy</w:t>
            </w:r>
          </w:p>
        </w:tc>
        <w:tc>
          <w:tcPr>
            <w:tcW w:w="2291" w:type="dxa"/>
          </w:tcPr>
          <w:p w:rsidR="003471C1" w:rsidRPr="00497960" w:rsidRDefault="003471C1" w:rsidP="003A6131">
            <w:pPr>
              <w:jc w:val="center"/>
            </w:pPr>
            <w:r w:rsidRPr="00497960">
              <w:t>Pb</w:t>
            </w:r>
          </w:p>
        </w:tc>
        <w:tc>
          <w:tcPr>
            <w:tcW w:w="2292" w:type="dxa"/>
          </w:tcPr>
          <w:p w:rsidR="003471C1" w:rsidRPr="00497960" w:rsidRDefault="003471C1" w:rsidP="003A6131">
            <w:pPr>
              <w:jc w:val="center"/>
            </w:pPr>
            <w:r w:rsidRPr="00497960">
              <w:t>40</w:t>
            </w:r>
          </w:p>
        </w:tc>
        <w:tc>
          <w:tcPr>
            <w:tcW w:w="2292" w:type="dxa"/>
          </w:tcPr>
          <w:p w:rsidR="003471C1" w:rsidRPr="00497960" w:rsidRDefault="003471C1" w:rsidP="003A6131">
            <w:pPr>
              <w:jc w:val="center"/>
            </w:pPr>
            <w:r w:rsidRPr="00497960">
              <w:t>200</w:t>
            </w:r>
          </w:p>
        </w:tc>
      </w:tr>
      <w:tr w:rsidR="003471C1" w:rsidRPr="00497960" w:rsidTr="003471C1">
        <w:tc>
          <w:tcPr>
            <w:tcW w:w="2291" w:type="dxa"/>
          </w:tcPr>
          <w:p w:rsidR="003471C1" w:rsidRPr="00497960" w:rsidRDefault="003471C1" w:rsidP="003A6131">
            <w:pPr>
              <w:jc w:val="both"/>
            </w:pPr>
            <w:r w:rsidRPr="00497960">
              <w:t>Nikkeli</w:t>
            </w:r>
          </w:p>
        </w:tc>
        <w:tc>
          <w:tcPr>
            <w:tcW w:w="2291" w:type="dxa"/>
          </w:tcPr>
          <w:p w:rsidR="003471C1" w:rsidRPr="00497960" w:rsidRDefault="003471C1" w:rsidP="003A6131">
            <w:pPr>
              <w:jc w:val="center"/>
            </w:pPr>
            <w:r w:rsidRPr="00497960">
              <w:t>Ni</w:t>
            </w:r>
          </w:p>
        </w:tc>
        <w:tc>
          <w:tcPr>
            <w:tcW w:w="2292" w:type="dxa"/>
          </w:tcPr>
          <w:p w:rsidR="003471C1" w:rsidRPr="00497960" w:rsidRDefault="003471C1" w:rsidP="003A6131">
            <w:pPr>
              <w:jc w:val="center"/>
            </w:pPr>
            <w:r w:rsidRPr="00497960">
              <w:t>45</w:t>
            </w:r>
          </w:p>
        </w:tc>
        <w:tc>
          <w:tcPr>
            <w:tcW w:w="2292" w:type="dxa"/>
          </w:tcPr>
          <w:p w:rsidR="003471C1" w:rsidRPr="00497960" w:rsidRDefault="003471C1" w:rsidP="003A6131">
            <w:pPr>
              <w:jc w:val="center"/>
            </w:pPr>
            <w:r w:rsidRPr="00497960">
              <w:t>60</w:t>
            </w:r>
          </w:p>
        </w:tc>
      </w:tr>
      <w:tr w:rsidR="003471C1" w:rsidRPr="00497960" w:rsidTr="003471C1">
        <w:tc>
          <w:tcPr>
            <w:tcW w:w="2291" w:type="dxa"/>
          </w:tcPr>
          <w:p w:rsidR="003471C1" w:rsidRPr="00497960" w:rsidRDefault="003471C1" w:rsidP="003A6131">
            <w:pPr>
              <w:jc w:val="both"/>
            </w:pPr>
            <w:r w:rsidRPr="00497960">
              <w:t>Sinkki</w:t>
            </w:r>
          </w:p>
        </w:tc>
        <w:tc>
          <w:tcPr>
            <w:tcW w:w="2291" w:type="dxa"/>
          </w:tcPr>
          <w:p w:rsidR="003471C1" w:rsidRPr="00497960" w:rsidRDefault="003471C1" w:rsidP="003A6131">
            <w:pPr>
              <w:jc w:val="center"/>
            </w:pPr>
            <w:r w:rsidRPr="00497960">
              <w:t>Zn</w:t>
            </w:r>
          </w:p>
        </w:tc>
        <w:tc>
          <w:tcPr>
            <w:tcW w:w="2292" w:type="dxa"/>
          </w:tcPr>
          <w:p w:rsidR="003471C1" w:rsidRPr="00497960" w:rsidRDefault="003471C1" w:rsidP="003A6131">
            <w:pPr>
              <w:jc w:val="center"/>
            </w:pPr>
            <w:r w:rsidRPr="00497960">
              <w:t>170</w:t>
            </w:r>
          </w:p>
        </w:tc>
        <w:tc>
          <w:tcPr>
            <w:tcW w:w="2292" w:type="dxa"/>
          </w:tcPr>
          <w:p w:rsidR="003471C1" w:rsidRPr="00497960" w:rsidRDefault="003471C1" w:rsidP="003A6131">
            <w:pPr>
              <w:jc w:val="center"/>
            </w:pPr>
            <w:r w:rsidRPr="00497960">
              <w:t>500</w:t>
            </w:r>
          </w:p>
        </w:tc>
      </w:tr>
      <w:tr w:rsidR="003471C1" w:rsidRPr="00497960" w:rsidTr="003471C1">
        <w:tc>
          <w:tcPr>
            <w:tcW w:w="2291" w:type="dxa"/>
            <w:tcBorders>
              <w:bottom w:val="single" w:sz="4" w:space="0" w:color="auto"/>
            </w:tcBorders>
          </w:tcPr>
          <w:p w:rsidR="003471C1" w:rsidRPr="00497960" w:rsidRDefault="003471C1" w:rsidP="003A6131">
            <w:pPr>
              <w:jc w:val="both"/>
            </w:pPr>
            <w:r w:rsidRPr="00497960">
              <w:t>Arseeni</w:t>
            </w:r>
          </w:p>
        </w:tc>
        <w:tc>
          <w:tcPr>
            <w:tcW w:w="2291" w:type="dxa"/>
            <w:tcBorders>
              <w:bottom w:val="single" w:sz="4" w:space="0" w:color="auto"/>
            </w:tcBorders>
          </w:tcPr>
          <w:p w:rsidR="003471C1" w:rsidRPr="00497960" w:rsidRDefault="003471C1" w:rsidP="003A6131">
            <w:pPr>
              <w:jc w:val="center"/>
            </w:pPr>
            <w:r w:rsidRPr="00497960">
              <w:t>As</w:t>
            </w:r>
          </w:p>
        </w:tc>
        <w:tc>
          <w:tcPr>
            <w:tcW w:w="2292" w:type="dxa"/>
            <w:tcBorders>
              <w:bottom w:val="single" w:sz="4" w:space="0" w:color="auto"/>
            </w:tcBorders>
          </w:tcPr>
          <w:p w:rsidR="003471C1" w:rsidRPr="00497960" w:rsidRDefault="003471C1" w:rsidP="003A6131">
            <w:pPr>
              <w:jc w:val="center"/>
            </w:pPr>
            <w:r w:rsidRPr="00497960">
              <w:t>15</w:t>
            </w:r>
          </w:p>
        </w:tc>
        <w:tc>
          <w:tcPr>
            <w:tcW w:w="2292" w:type="dxa"/>
            <w:tcBorders>
              <w:bottom w:val="single" w:sz="4" w:space="0" w:color="auto"/>
            </w:tcBorders>
          </w:tcPr>
          <w:p w:rsidR="003471C1" w:rsidRPr="00497960" w:rsidRDefault="003471C1" w:rsidP="003A6131">
            <w:pPr>
              <w:jc w:val="center"/>
            </w:pPr>
            <w:r w:rsidRPr="00497960">
              <w:t>60</w:t>
            </w:r>
          </w:p>
        </w:tc>
      </w:tr>
    </w:tbl>
    <w:p w:rsidR="003471C1" w:rsidRDefault="003471C1" w:rsidP="003A6131">
      <w:pPr>
        <w:jc w:val="both"/>
      </w:pPr>
    </w:p>
    <w:p w:rsidR="003471C1" w:rsidRDefault="003471C1" w:rsidP="003A6131">
      <w:pPr>
        <w:jc w:val="both"/>
      </w:pPr>
      <w:r>
        <w:lastRenderedPageBreak/>
        <w:t>Metallipitoisuudet korjataan vastaamaan standardisedimentin pitoisuuksia seuraavalla muu</w:t>
      </w:r>
      <w:r>
        <w:t>n</w:t>
      </w:r>
      <w:r>
        <w:t>noskaavalla:</w:t>
      </w:r>
    </w:p>
    <w:p w:rsidR="003471C1" w:rsidRDefault="003471C1" w:rsidP="003A6131">
      <w:pPr>
        <w:shd w:val="clear" w:color="auto" w:fill="EEECE1" w:themeFill="background2"/>
        <w:jc w:val="center"/>
      </w:pPr>
      <w:r>
        <w:t>Ckorj.= C (mg/kg k.a.) ×  ((a+b×25+ c×10))/((a+b×savi(%)+C×orgaaninen aines(%)))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3"/>
        <w:gridCol w:w="2112"/>
      </w:tblGrid>
      <w:tr w:rsidR="003A6131" w:rsidRPr="00497960" w:rsidTr="003A6131">
        <w:tc>
          <w:tcPr>
            <w:tcW w:w="1951" w:type="dxa"/>
            <w:shd w:val="clear" w:color="auto" w:fill="EEECE1" w:themeFill="background2"/>
          </w:tcPr>
          <w:p w:rsidR="003A6131" w:rsidRDefault="003A6131" w:rsidP="003A6131">
            <w:pPr>
              <w:jc w:val="both"/>
            </w:pPr>
            <w:r>
              <w:t>SYÖTTEET</w:t>
            </w:r>
          </w:p>
        </w:tc>
        <w:tc>
          <w:tcPr>
            <w:tcW w:w="5103" w:type="dxa"/>
            <w:shd w:val="clear" w:color="auto" w:fill="EEECE1" w:themeFill="background2"/>
          </w:tcPr>
          <w:p w:rsidR="003A6131" w:rsidRDefault="003A6131" w:rsidP="003A6131">
            <w:pPr>
              <w:jc w:val="both"/>
            </w:pPr>
          </w:p>
        </w:tc>
        <w:tc>
          <w:tcPr>
            <w:tcW w:w="2112" w:type="dxa"/>
            <w:shd w:val="clear" w:color="auto" w:fill="EEECE1" w:themeFill="background2"/>
          </w:tcPr>
          <w:p w:rsidR="003A6131" w:rsidRDefault="003A6131" w:rsidP="003A6131">
            <w:pPr>
              <w:jc w:val="center"/>
              <w:rPr>
                <w:lang w:val="en-US"/>
              </w:rPr>
            </w:pPr>
          </w:p>
        </w:tc>
      </w:tr>
      <w:tr w:rsidR="003471C1" w:rsidRPr="00497960" w:rsidTr="003A6131">
        <w:tc>
          <w:tcPr>
            <w:tcW w:w="1951" w:type="dxa"/>
            <w:tcBorders>
              <w:bottom w:val="single" w:sz="4" w:space="0" w:color="auto"/>
            </w:tcBorders>
            <w:shd w:val="clear" w:color="auto" w:fill="EEECE1" w:themeFill="background2"/>
          </w:tcPr>
          <w:p w:rsidR="003471C1" w:rsidRPr="00497960" w:rsidRDefault="003471C1" w:rsidP="003A6131">
            <w:pPr>
              <w:jc w:val="both"/>
            </w:pPr>
            <w:r>
              <w:t>Parametri</w:t>
            </w:r>
          </w:p>
        </w:tc>
        <w:tc>
          <w:tcPr>
            <w:tcW w:w="5103" w:type="dxa"/>
            <w:tcBorders>
              <w:bottom w:val="single" w:sz="4" w:space="0" w:color="auto"/>
            </w:tcBorders>
            <w:shd w:val="clear" w:color="auto" w:fill="EEECE1" w:themeFill="background2"/>
          </w:tcPr>
          <w:p w:rsidR="003471C1" w:rsidRDefault="003471C1" w:rsidP="003A6131">
            <w:pPr>
              <w:jc w:val="both"/>
            </w:pPr>
            <w:r>
              <w:t>Kuvaus</w:t>
            </w:r>
          </w:p>
        </w:tc>
        <w:tc>
          <w:tcPr>
            <w:tcW w:w="2112" w:type="dxa"/>
            <w:tcBorders>
              <w:bottom w:val="single" w:sz="4" w:space="0" w:color="auto"/>
            </w:tcBorders>
            <w:shd w:val="clear" w:color="auto" w:fill="EEECE1" w:themeFill="background2"/>
          </w:tcPr>
          <w:p w:rsidR="003471C1" w:rsidRPr="00497960" w:rsidRDefault="003471C1" w:rsidP="003A6131">
            <w:pPr>
              <w:jc w:val="center"/>
              <w:rPr>
                <w:lang w:val="en-US"/>
              </w:rPr>
            </w:pPr>
            <w:r>
              <w:rPr>
                <w:lang w:val="en-US"/>
              </w:rPr>
              <w:t>Yksikkö</w:t>
            </w:r>
          </w:p>
        </w:tc>
      </w:tr>
      <w:tr w:rsidR="003471C1" w:rsidRPr="00497960" w:rsidTr="003A6131">
        <w:tc>
          <w:tcPr>
            <w:tcW w:w="1951" w:type="dxa"/>
            <w:tcBorders>
              <w:top w:val="single" w:sz="4" w:space="0" w:color="auto"/>
            </w:tcBorders>
          </w:tcPr>
          <w:p w:rsidR="003471C1" w:rsidRPr="00497960" w:rsidRDefault="003471C1" w:rsidP="003A6131">
            <w:pPr>
              <w:jc w:val="both"/>
            </w:pPr>
            <w:r w:rsidRPr="00497960">
              <w:t xml:space="preserve">Ckorj. </w:t>
            </w:r>
          </w:p>
        </w:tc>
        <w:tc>
          <w:tcPr>
            <w:tcW w:w="5103" w:type="dxa"/>
            <w:tcBorders>
              <w:top w:val="single" w:sz="4" w:space="0" w:color="auto"/>
            </w:tcBorders>
          </w:tcPr>
          <w:p w:rsidR="003471C1" w:rsidRPr="00497960" w:rsidRDefault="003471C1" w:rsidP="003A6131">
            <w:pPr>
              <w:jc w:val="both"/>
            </w:pPr>
            <w:r>
              <w:t>pitoisuus standardisedimentissä</w:t>
            </w:r>
          </w:p>
        </w:tc>
        <w:tc>
          <w:tcPr>
            <w:tcW w:w="2112" w:type="dxa"/>
            <w:tcBorders>
              <w:top w:val="single" w:sz="4" w:space="0" w:color="auto"/>
            </w:tcBorders>
          </w:tcPr>
          <w:p w:rsidR="003471C1" w:rsidRPr="00497960" w:rsidRDefault="003471C1" w:rsidP="003A6131">
            <w:pPr>
              <w:jc w:val="center"/>
              <w:rPr>
                <w:lang w:val="en-US"/>
              </w:rPr>
            </w:pPr>
            <w:r w:rsidRPr="00497960">
              <w:rPr>
                <w:lang w:val="en-US"/>
              </w:rPr>
              <w:t>mg/kg k.a.</w:t>
            </w:r>
          </w:p>
        </w:tc>
      </w:tr>
      <w:tr w:rsidR="003471C1" w:rsidRPr="00497960" w:rsidTr="003A6131">
        <w:tc>
          <w:tcPr>
            <w:tcW w:w="1951" w:type="dxa"/>
          </w:tcPr>
          <w:p w:rsidR="003471C1" w:rsidRPr="00497960" w:rsidRDefault="003471C1" w:rsidP="003A6131">
            <w:pPr>
              <w:jc w:val="both"/>
            </w:pPr>
            <w:r w:rsidRPr="00497960">
              <w:t xml:space="preserve">C </w:t>
            </w:r>
          </w:p>
        </w:tc>
        <w:tc>
          <w:tcPr>
            <w:tcW w:w="5103" w:type="dxa"/>
          </w:tcPr>
          <w:p w:rsidR="003471C1" w:rsidRPr="00497960" w:rsidRDefault="003471C1" w:rsidP="003A6131">
            <w:pPr>
              <w:jc w:val="both"/>
            </w:pPr>
            <w:r w:rsidRPr="00497960">
              <w:t>mitattu pitoisuus sedimentissä</w:t>
            </w:r>
          </w:p>
        </w:tc>
        <w:tc>
          <w:tcPr>
            <w:tcW w:w="2112" w:type="dxa"/>
          </w:tcPr>
          <w:p w:rsidR="003471C1" w:rsidRPr="00497960" w:rsidRDefault="003471C1" w:rsidP="003A6131">
            <w:pPr>
              <w:jc w:val="center"/>
            </w:pPr>
            <w:r w:rsidRPr="00497960">
              <w:t>mg/kg k.a</w:t>
            </w:r>
            <w:r>
              <w:t>.</w:t>
            </w:r>
          </w:p>
        </w:tc>
      </w:tr>
      <w:tr w:rsidR="003471C1" w:rsidRPr="00497960" w:rsidTr="003A6131">
        <w:tc>
          <w:tcPr>
            <w:tcW w:w="1951" w:type="dxa"/>
          </w:tcPr>
          <w:p w:rsidR="003471C1" w:rsidRPr="00497960" w:rsidRDefault="003471C1" w:rsidP="003A6131">
            <w:pPr>
              <w:jc w:val="both"/>
            </w:pPr>
            <w:r w:rsidRPr="00497960">
              <w:t>k.a.</w:t>
            </w:r>
          </w:p>
        </w:tc>
        <w:tc>
          <w:tcPr>
            <w:tcW w:w="5103" w:type="dxa"/>
          </w:tcPr>
          <w:p w:rsidR="003471C1" w:rsidRPr="00497960" w:rsidRDefault="003471C1" w:rsidP="003A6131">
            <w:pPr>
              <w:jc w:val="both"/>
            </w:pPr>
            <w:r w:rsidRPr="00497960">
              <w:t>kuiva-ainetta</w:t>
            </w:r>
          </w:p>
        </w:tc>
        <w:tc>
          <w:tcPr>
            <w:tcW w:w="2112" w:type="dxa"/>
          </w:tcPr>
          <w:p w:rsidR="003471C1" w:rsidRPr="00497960" w:rsidRDefault="003471C1" w:rsidP="003A6131">
            <w:pPr>
              <w:jc w:val="center"/>
            </w:pPr>
          </w:p>
        </w:tc>
      </w:tr>
      <w:tr w:rsidR="003471C1" w:rsidRPr="00497960" w:rsidTr="003A6131">
        <w:tc>
          <w:tcPr>
            <w:tcW w:w="1951" w:type="dxa"/>
          </w:tcPr>
          <w:p w:rsidR="003471C1" w:rsidRPr="00497960" w:rsidRDefault="003471C1" w:rsidP="003A6131">
            <w:pPr>
              <w:jc w:val="both"/>
            </w:pPr>
            <w:r w:rsidRPr="00497960">
              <w:t xml:space="preserve">savi </w:t>
            </w:r>
          </w:p>
        </w:tc>
        <w:tc>
          <w:tcPr>
            <w:tcW w:w="5103" w:type="dxa"/>
          </w:tcPr>
          <w:p w:rsidR="003471C1" w:rsidRPr="00497960" w:rsidRDefault="003471C1" w:rsidP="003A6131">
            <w:pPr>
              <w:jc w:val="both"/>
            </w:pPr>
            <w:r w:rsidRPr="00497960">
              <w:t xml:space="preserve">mitattu saven (&lt; 2 μm) osuus </w:t>
            </w:r>
            <w:r>
              <w:t>k</w:t>
            </w:r>
            <w:r w:rsidRPr="00497960">
              <w:t>uivapainosta</w:t>
            </w:r>
          </w:p>
        </w:tc>
        <w:tc>
          <w:tcPr>
            <w:tcW w:w="2112" w:type="dxa"/>
          </w:tcPr>
          <w:p w:rsidR="003471C1" w:rsidRPr="00497960" w:rsidRDefault="003471C1" w:rsidP="003A6131">
            <w:pPr>
              <w:jc w:val="center"/>
            </w:pPr>
            <w:r>
              <w:t>%</w:t>
            </w:r>
          </w:p>
        </w:tc>
      </w:tr>
      <w:tr w:rsidR="003471C1" w:rsidRPr="00497960" w:rsidTr="003A6131">
        <w:tc>
          <w:tcPr>
            <w:tcW w:w="1951" w:type="dxa"/>
            <w:tcBorders>
              <w:bottom w:val="single" w:sz="4" w:space="0" w:color="auto"/>
            </w:tcBorders>
          </w:tcPr>
          <w:p w:rsidR="003471C1" w:rsidRPr="00497960" w:rsidRDefault="003471C1" w:rsidP="003A6131">
            <w:pPr>
              <w:jc w:val="both"/>
            </w:pPr>
            <w:r w:rsidRPr="00497960">
              <w:t xml:space="preserve">orgaaninen aines </w:t>
            </w:r>
          </w:p>
        </w:tc>
        <w:tc>
          <w:tcPr>
            <w:tcW w:w="5103" w:type="dxa"/>
            <w:tcBorders>
              <w:bottom w:val="single" w:sz="4" w:space="0" w:color="auto"/>
            </w:tcBorders>
          </w:tcPr>
          <w:p w:rsidR="003471C1" w:rsidRPr="00497960" w:rsidRDefault="003471C1" w:rsidP="003A6131">
            <w:pPr>
              <w:jc w:val="both"/>
            </w:pPr>
            <w:r w:rsidRPr="00497960">
              <w:t>mitattu orgaanisen aineksen osuus kuivapainosta</w:t>
            </w:r>
            <w:r w:rsidR="003A6131" w:rsidRPr="003A6131">
              <w:rPr>
                <w:vertAlign w:val="superscript"/>
              </w:rPr>
              <w:t>1</w:t>
            </w:r>
            <w:r w:rsidRPr="003A6131">
              <w:rPr>
                <w:vertAlign w:val="superscript"/>
              </w:rPr>
              <w:t xml:space="preserve"> </w:t>
            </w:r>
          </w:p>
        </w:tc>
        <w:tc>
          <w:tcPr>
            <w:tcW w:w="2112" w:type="dxa"/>
            <w:tcBorders>
              <w:bottom w:val="single" w:sz="4" w:space="0" w:color="auto"/>
            </w:tcBorders>
          </w:tcPr>
          <w:p w:rsidR="003471C1" w:rsidRPr="00497960" w:rsidRDefault="003471C1" w:rsidP="003A6131">
            <w:pPr>
              <w:jc w:val="center"/>
            </w:pPr>
            <w:r>
              <w:t>%</w:t>
            </w:r>
          </w:p>
        </w:tc>
      </w:tr>
    </w:tbl>
    <w:p w:rsidR="003471C1" w:rsidRDefault="003A6131" w:rsidP="003A6131">
      <w:pPr>
        <w:jc w:val="both"/>
      </w:pPr>
      <w:r w:rsidRPr="003A6131">
        <w:rPr>
          <w:vertAlign w:val="superscript"/>
        </w:rPr>
        <w:t>1</w:t>
      </w:r>
      <w:r>
        <w:t xml:space="preserve"> </w:t>
      </w:r>
      <w:r w:rsidR="003471C1">
        <w:t>Kaavassa orgaanisen aineksen osuus voi olla korkeintaan 30%. Jos orgaanisen aineksen osuus on suurempi kuin 30%, metallien muunnoskaavaan sijoitetaan orgaanisen aineksen osuudeksi 30.</w:t>
      </w:r>
    </w:p>
    <w:p w:rsidR="003471C1" w:rsidRDefault="003471C1" w:rsidP="003A6131">
      <w:pPr>
        <w:spacing w:after="0"/>
        <w:jc w:val="both"/>
      </w:pPr>
      <w:r>
        <w:t>Taulukko 2. Vakiot a, b, c eri metalleille.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291"/>
        <w:gridCol w:w="2292"/>
        <w:gridCol w:w="2292"/>
      </w:tblGrid>
      <w:tr w:rsidR="003471C1" w:rsidRPr="00497960" w:rsidTr="003471C1">
        <w:tc>
          <w:tcPr>
            <w:tcW w:w="2291" w:type="dxa"/>
            <w:tcBorders>
              <w:bottom w:val="single" w:sz="4" w:space="0" w:color="auto"/>
            </w:tcBorders>
            <w:shd w:val="clear" w:color="auto" w:fill="EEECE1" w:themeFill="background2"/>
          </w:tcPr>
          <w:p w:rsidR="003471C1" w:rsidRPr="00497960" w:rsidRDefault="003471C1" w:rsidP="003A6131">
            <w:pPr>
              <w:jc w:val="both"/>
              <w:rPr>
                <w:lang w:val="en-US"/>
              </w:rPr>
            </w:pPr>
            <w:r w:rsidRPr="00497960">
              <w:rPr>
                <w:lang w:val="en-US"/>
              </w:rPr>
              <w:t xml:space="preserve">Metalli </w:t>
            </w:r>
          </w:p>
        </w:tc>
        <w:tc>
          <w:tcPr>
            <w:tcW w:w="2291" w:type="dxa"/>
            <w:tcBorders>
              <w:bottom w:val="single" w:sz="4" w:space="0" w:color="auto"/>
            </w:tcBorders>
            <w:shd w:val="clear" w:color="auto" w:fill="EEECE1" w:themeFill="background2"/>
          </w:tcPr>
          <w:p w:rsidR="003471C1" w:rsidRPr="00497960" w:rsidRDefault="003471C1" w:rsidP="003A6131">
            <w:pPr>
              <w:jc w:val="center"/>
              <w:rPr>
                <w:lang w:val="en-US"/>
              </w:rPr>
            </w:pPr>
            <w:r w:rsidRPr="00497960">
              <w:rPr>
                <w:lang w:val="en-US"/>
              </w:rPr>
              <w:t>a</w:t>
            </w:r>
          </w:p>
        </w:tc>
        <w:tc>
          <w:tcPr>
            <w:tcW w:w="2292" w:type="dxa"/>
            <w:tcBorders>
              <w:bottom w:val="single" w:sz="4" w:space="0" w:color="auto"/>
            </w:tcBorders>
            <w:shd w:val="clear" w:color="auto" w:fill="EEECE1" w:themeFill="background2"/>
          </w:tcPr>
          <w:p w:rsidR="003471C1" w:rsidRPr="00497960" w:rsidRDefault="003471C1" w:rsidP="003A6131">
            <w:pPr>
              <w:jc w:val="center"/>
              <w:rPr>
                <w:lang w:val="en-US"/>
              </w:rPr>
            </w:pPr>
            <w:r w:rsidRPr="00497960">
              <w:rPr>
                <w:lang w:val="en-US"/>
              </w:rPr>
              <w:t>b</w:t>
            </w:r>
          </w:p>
        </w:tc>
        <w:tc>
          <w:tcPr>
            <w:tcW w:w="2292" w:type="dxa"/>
            <w:tcBorders>
              <w:bottom w:val="single" w:sz="4" w:space="0" w:color="auto"/>
            </w:tcBorders>
            <w:shd w:val="clear" w:color="auto" w:fill="EEECE1" w:themeFill="background2"/>
          </w:tcPr>
          <w:p w:rsidR="003471C1" w:rsidRPr="00497960" w:rsidRDefault="003471C1" w:rsidP="003A6131">
            <w:pPr>
              <w:jc w:val="center"/>
              <w:rPr>
                <w:lang w:val="en-US"/>
              </w:rPr>
            </w:pPr>
            <w:r w:rsidRPr="00497960">
              <w:rPr>
                <w:lang w:val="en-US"/>
              </w:rPr>
              <w:t>c</w:t>
            </w:r>
          </w:p>
        </w:tc>
      </w:tr>
      <w:tr w:rsidR="003471C1" w:rsidRPr="00497960" w:rsidTr="003471C1">
        <w:tc>
          <w:tcPr>
            <w:tcW w:w="2291" w:type="dxa"/>
            <w:tcBorders>
              <w:top w:val="single" w:sz="4" w:space="0" w:color="auto"/>
            </w:tcBorders>
          </w:tcPr>
          <w:p w:rsidR="003471C1" w:rsidRPr="00497960" w:rsidRDefault="003471C1" w:rsidP="003A6131">
            <w:pPr>
              <w:jc w:val="both"/>
              <w:rPr>
                <w:lang w:val="en-US"/>
              </w:rPr>
            </w:pPr>
            <w:r w:rsidRPr="00497960">
              <w:rPr>
                <w:lang w:val="en-US"/>
              </w:rPr>
              <w:t xml:space="preserve">As </w:t>
            </w:r>
          </w:p>
        </w:tc>
        <w:tc>
          <w:tcPr>
            <w:tcW w:w="2291" w:type="dxa"/>
            <w:tcBorders>
              <w:top w:val="single" w:sz="4" w:space="0" w:color="auto"/>
            </w:tcBorders>
          </w:tcPr>
          <w:p w:rsidR="003471C1" w:rsidRPr="00497960" w:rsidRDefault="003471C1" w:rsidP="003A6131">
            <w:pPr>
              <w:jc w:val="center"/>
              <w:rPr>
                <w:lang w:val="en-US"/>
              </w:rPr>
            </w:pPr>
            <w:r w:rsidRPr="00497960">
              <w:rPr>
                <w:lang w:val="en-US"/>
              </w:rPr>
              <w:t>15</w:t>
            </w:r>
          </w:p>
        </w:tc>
        <w:tc>
          <w:tcPr>
            <w:tcW w:w="2292" w:type="dxa"/>
            <w:tcBorders>
              <w:top w:val="single" w:sz="4" w:space="0" w:color="auto"/>
            </w:tcBorders>
          </w:tcPr>
          <w:p w:rsidR="003471C1" w:rsidRPr="00497960" w:rsidRDefault="003471C1" w:rsidP="003A6131">
            <w:pPr>
              <w:jc w:val="center"/>
              <w:rPr>
                <w:lang w:val="en-US"/>
              </w:rPr>
            </w:pPr>
            <w:r w:rsidRPr="00497960">
              <w:rPr>
                <w:lang w:val="en-US"/>
              </w:rPr>
              <w:t>0,4</w:t>
            </w:r>
          </w:p>
        </w:tc>
        <w:tc>
          <w:tcPr>
            <w:tcW w:w="2292" w:type="dxa"/>
            <w:tcBorders>
              <w:top w:val="single" w:sz="4" w:space="0" w:color="auto"/>
            </w:tcBorders>
          </w:tcPr>
          <w:p w:rsidR="003471C1" w:rsidRPr="00497960" w:rsidRDefault="003471C1" w:rsidP="003A6131">
            <w:pPr>
              <w:jc w:val="center"/>
              <w:rPr>
                <w:lang w:val="en-US"/>
              </w:rPr>
            </w:pPr>
            <w:r w:rsidRPr="00497960">
              <w:rPr>
                <w:lang w:val="en-US"/>
              </w:rPr>
              <w:t>0,4</w:t>
            </w:r>
          </w:p>
        </w:tc>
      </w:tr>
      <w:tr w:rsidR="003471C1" w:rsidRPr="00497960" w:rsidTr="003471C1">
        <w:tc>
          <w:tcPr>
            <w:tcW w:w="2291" w:type="dxa"/>
          </w:tcPr>
          <w:p w:rsidR="003471C1" w:rsidRPr="00497960" w:rsidRDefault="003471C1" w:rsidP="003A6131">
            <w:pPr>
              <w:jc w:val="both"/>
              <w:rPr>
                <w:lang w:val="en-US"/>
              </w:rPr>
            </w:pPr>
            <w:r w:rsidRPr="00497960">
              <w:rPr>
                <w:lang w:val="en-US"/>
              </w:rPr>
              <w:t xml:space="preserve">Cd </w:t>
            </w:r>
          </w:p>
        </w:tc>
        <w:tc>
          <w:tcPr>
            <w:tcW w:w="2291" w:type="dxa"/>
          </w:tcPr>
          <w:p w:rsidR="003471C1" w:rsidRPr="00497960" w:rsidRDefault="003471C1" w:rsidP="003A6131">
            <w:pPr>
              <w:jc w:val="center"/>
              <w:rPr>
                <w:lang w:val="en-US"/>
              </w:rPr>
            </w:pPr>
            <w:r w:rsidRPr="00497960">
              <w:rPr>
                <w:lang w:val="en-US"/>
              </w:rPr>
              <w:t>0,4</w:t>
            </w:r>
          </w:p>
        </w:tc>
        <w:tc>
          <w:tcPr>
            <w:tcW w:w="2292" w:type="dxa"/>
          </w:tcPr>
          <w:p w:rsidR="003471C1" w:rsidRPr="00497960" w:rsidRDefault="003471C1" w:rsidP="003A6131">
            <w:pPr>
              <w:jc w:val="center"/>
              <w:rPr>
                <w:lang w:val="en-US"/>
              </w:rPr>
            </w:pPr>
            <w:r w:rsidRPr="00497960">
              <w:rPr>
                <w:lang w:val="en-US"/>
              </w:rPr>
              <w:t>0,007</w:t>
            </w:r>
          </w:p>
        </w:tc>
        <w:tc>
          <w:tcPr>
            <w:tcW w:w="2292" w:type="dxa"/>
          </w:tcPr>
          <w:p w:rsidR="003471C1" w:rsidRPr="00497960" w:rsidRDefault="003471C1" w:rsidP="003A6131">
            <w:pPr>
              <w:jc w:val="center"/>
              <w:rPr>
                <w:lang w:val="en-US"/>
              </w:rPr>
            </w:pPr>
            <w:r w:rsidRPr="00497960">
              <w:rPr>
                <w:lang w:val="en-US"/>
              </w:rPr>
              <w:t>0,021</w:t>
            </w:r>
          </w:p>
        </w:tc>
      </w:tr>
      <w:tr w:rsidR="003471C1" w:rsidRPr="00497960" w:rsidTr="003471C1">
        <w:tc>
          <w:tcPr>
            <w:tcW w:w="2291" w:type="dxa"/>
          </w:tcPr>
          <w:p w:rsidR="003471C1" w:rsidRPr="00497960" w:rsidRDefault="003471C1" w:rsidP="003A6131">
            <w:pPr>
              <w:jc w:val="both"/>
              <w:rPr>
                <w:lang w:val="en-US"/>
              </w:rPr>
            </w:pPr>
            <w:r w:rsidRPr="00497960">
              <w:rPr>
                <w:lang w:val="en-US"/>
              </w:rPr>
              <w:t xml:space="preserve">Cr </w:t>
            </w:r>
          </w:p>
        </w:tc>
        <w:tc>
          <w:tcPr>
            <w:tcW w:w="2291" w:type="dxa"/>
          </w:tcPr>
          <w:p w:rsidR="003471C1" w:rsidRPr="00497960" w:rsidRDefault="003471C1" w:rsidP="003A6131">
            <w:pPr>
              <w:jc w:val="center"/>
              <w:rPr>
                <w:lang w:val="en-US"/>
              </w:rPr>
            </w:pPr>
            <w:r w:rsidRPr="00497960">
              <w:rPr>
                <w:lang w:val="en-US"/>
              </w:rPr>
              <w:t>50</w:t>
            </w:r>
          </w:p>
        </w:tc>
        <w:tc>
          <w:tcPr>
            <w:tcW w:w="2292" w:type="dxa"/>
          </w:tcPr>
          <w:p w:rsidR="003471C1" w:rsidRPr="00497960" w:rsidRDefault="003471C1" w:rsidP="003A6131">
            <w:pPr>
              <w:jc w:val="center"/>
              <w:rPr>
                <w:lang w:val="en-US"/>
              </w:rPr>
            </w:pPr>
            <w:r w:rsidRPr="00497960">
              <w:rPr>
                <w:lang w:val="en-US"/>
              </w:rPr>
              <w:t>2</w:t>
            </w:r>
          </w:p>
        </w:tc>
        <w:tc>
          <w:tcPr>
            <w:tcW w:w="2292" w:type="dxa"/>
          </w:tcPr>
          <w:p w:rsidR="003471C1" w:rsidRPr="00497960" w:rsidRDefault="003471C1" w:rsidP="003A6131">
            <w:pPr>
              <w:jc w:val="center"/>
              <w:rPr>
                <w:lang w:val="en-US"/>
              </w:rPr>
            </w:pPr>
            <w:r w:rsidRPr="00497960">
              <w:rPr>
                <w:lang w:val="en-US"/>
              </w:rPr>
              <w:t>0</w:t>
            </w:r>
          </w:p>
        </w:tc>
      </w:tr>
      <w:tr w:rsidR="003471C1" w:rsidRPr="00497960" w:rsidTr="003471C1">
        <w:tc>
          <w:tcPr>
            <w:tcW w:w="2291" w:type="dxa"/>
          </w:tcPr>
          <w:p w:rsidR="003471C1" w:rsidRPr="00497960" w:rsidRDefault="003471C1" w:rsidP="003A6131">
            <w:pPr>
              <w:jc w:val="both"/>
              <w:rPr>
                <w:lang w:val="en-US"/>
              </w:rPr>
            </w:pPr>
            <w:r w:rsidRPr="00497960">
              <w:rPr>
                <w:lang w:val="en-US"/>
              </w:rPr>
              <w:t xml:space="preserve">Cu </w:t>
            </w:r>
          </w:p>
        </w:tc>
        <w:tc>
          <w:tcPr>
            <w:tcW w:w="2291" w:type="dxa"/>
          </w:tcPr>
          <w:p w:rsidR="003471C1" w:rsidRPr="00497960" w:rsidRDefault="003471C1" w:rsidP="003A6131">
            <w:pPr>
              <w:jc w:val="center"/>
              <w:rPr>
                <w:lang w:val="en-US"/>
              </w:rPr>
            </w:pPr>
            <w:r w:rsidRPr="00497960">
              <w:rPr>
                <w:lang w:val="en-US"/>
              </w:rPr>
              <w:t>15</w:t>
            </w:r>
          </w:p>
        </w:tc>
        <w:tc>
          <w:tcPr>
            <w:tcW w:w="2292" w:type="dxa"/>
          </w:tcPr>
          <w:p w:rsidR="003471C1" w:rsidRPr="00497960" w:rsidRDefault="003471C1" w:rsidP="003A6131">
            <w:pPr>
              <w:jc w:val="center"/>
              <w:rPr>
                <w:lang w:val="en-US"/>
              </w:rPr>
            </w:pPr>
            <w:r w:rsidRPr="00497960">
              <w:rPr>
                <w:lang w:val="en-US"/>
              </w:rPr>
              <w:t>0,6</w:t>
            </w:r>
          </w:p>
        </w:tc>
        <w:tc>
          <w:tcPr>
            <w:tcW w:w="2292" w:type="dxa"/>
          </w:tcPr>
          <w:p w:rsidR="003471C1" w:rsidRPr="00497960" w:rsidRDefault="003471C1" w:rsidP="003A6131">
            <w:pPr>
              <w:jc w:val="center"/>
              <w:rPr>
                <w:lang w:val="en-US"/>
              </w:rPr>
            </w:pPr>
            <w:r w:rsidRPr="00497960">
              <w:rPr>
                <w:lang w:val="en-US"/>
              </w:rPr>
              <w:t>0,6</w:t>
            </w:r>
          </w:p>
        </w:tc>
      </w:tr>
      <w:tr w:rsidR="003471C1" w:rsidRPr="00497960" w:rsidTr="003471C1">
        <w:tc>
          <w:tcPr>
            <w:tcW w:w="2291" w:type="dxa"/>
          </w:tcPr>
          <w:p w:rsidR="003471C1" w:rsidRPr="00497960" w:rsidRDefault="003471C1" w:rsidP="003A6131">
            <w:pPr>
              <w:jc w:val="both"/>
              <w:rPr>
                <w:lang w:val="en-US"/>
              </w:rPr>
            </w:pPr>
            <w:r w:rsidRPr="00497960">
              <w:rPr>
                <w:lang w:val="en-US"/>
              </w:rPr>
              <w:t xml:space="preserve">Hg </w:t>
            </w:r>
          </w:p>
        </w:tc>
        <w:tc>
          <w:tcPr>
            <w:tcW w:w="2291" w:type="dxa"/>
          </w:tcPr>
          <w:p w:rsidR="003471C1" w:rsidRPr="00497960" w:rsidRDefault="003471C1" w:rsidP="003A6131">
            <w:pPr>
              <w:jc w:val="center"/>
              <w:rPr>
                <w:lang w:val="en-US"/>
              </w:rPr>
            </w:pPr>
            <w:r w:rsidRPr="00497960">
              <w:rPr>
                <w:lang w:val="en-US"/>
              </w:rPr>
              <w:t>0,2</w:t>
            </w:r>
          </w:p>
        </w:tc>
        <w:tc>
          <w:tcPr>
            <w:tcW w:w="2292" w:type="dxa"/>
          </w:tcPr>
          <w:p w:rsidR="003471C1" w:rsidRPr="00497960" w:rsidRDefault="003471C1" w:rsidP="003A6131">
            <w:pPr>
              <w:jc w:val="center"/>
              <w:rPr>
                <w:lang w:val="en-US"/>
              </w:rPr>
            </w:pPr>
            <w:r w:rsidRPr="00497960">
              <w:rPr>
                <w:lang w:val="en-US"/>
              </w:rPr>
              <w:t>0,0034</w:t>
            </w:r>
          </w:p>
        </w:tc>
        <w:tc>
          <w:tcPr>
            <w:tcW w:w="2292" w:type="dxa"/>
          </w:tcPr>
          <w:p w:rsidR="003471C1" w:rsidRPr="00497960" w:rsidRDefault="003471C1" w:rsidP="003A6131">
            <w:pPr>
              <w:jc w:val="center"/>
              <w:rPr>
                <w:lang w:val="en-US"/>
              </w:rPr>
            </w:pPr>
            <w:r w:rsidRPr="00497960">
              <w:rPr>
                <w:lang w:val="en-US"/>
              </w:rPr>
              <w:t>0,0017</w:t>
            </w:r>
          </w:p>
        </w:tc>
      </w:tr>
      <w:tr w:rsidR="003471C1" w:rsidRPr="00497960" w:rsidTr="003471C1">
        <w:tc>
          <w:tcPr>
            <w:tcW w:w="2291" w:type="dxa"/>
          </w:tcPr>
          <w:p w:rsidR="003471C1" w:rsidRPr="00497960" w:rsidRDefault="003471C1" w:rsidP="003A6131">
            <w:pPr>
              <w:jc w:val="both"/>
              <w:rPr>
                <w:lang w:val="en-US"/>
              </w:rPr>
            </w:pPr>
            <w:r w:rsidRPr="00497960">
              <w:rPr>
                <w:lang w:val="en-US"/>
              </w:rPr>
              <w:t xml:space="preserve">Ni </w:t>
            </w:r>
          </w:p>
        </w:tc>
        <w:tc>
          <w:tcPr>
            <w:tcW w:w="2291" w:type="dxa"/>
          </w:tcPr>
          <w:p w:rsidR="003471C1" w:rsidRPr="00497960" w:rsidRDefault="003471C1" w:rsidP="003A6131">
            <w:pPr>
              <w:jc w:val="center"/>
              <w:rPr>
                <w:lang w:val="en-US"/>
              </w:rPr>
            </w:pPr>
            <w:r w:rsidRPr="00497960">
              <w:rPr>
                <w:lang w:val="en-US"/>
              </w:rPr>
              <w:t>10</w:t>
            </w:r>
          </w:p>
        </w:tc>
        <w:tc>
          <w:tcPr>
            <w:tcW w:w="2292" w:type="dxa"/>
          </w:tcPr>
          <w:p w:rsidR="003471C1" w:rsidRPr="00497960" w:rsidRDefault="003471C1" w:rsidP="003A6131">
            <w:pPr>
              <w:jc w:val="center"/>
              <w:rPr>
                <w:lang w:val="en-US"/>
              </w:rPr>
            </w:pPr>
            <w:r w:rsidRPr="00497960">
              <w:rPr>
                <w:lang w:val="en-US"/>
              </w:rPr>
              <w:t>1</w:t>
            </w:r>
          </w:p>
        </w:tc>
        <w:tc>
          <w:tcPr>
            <w:tcW w:w="2292" w:type="dxa"/>
          </w:tcPr>
          <w:p w:rsidR="003471C1" w:rsidRPr="00497960" w:rsidRDefault="003471C1" w:rsidP="003A6131">
            <w:pPr>
              <w:jc w:val="center"/>
              <w:rPr>
                <w:lang w:val="en-US"/>
              </w:rPr>
            </w:pPr>
            <w:r w:rsidRPr="00497960">
              <w:rPr>
                <w:lang w:val="en-US"/>
              </w:rPr>
              <w:t>0</w:t>
            </w:r>
          </w:p>
        </w:tc>
      </w:tr>
      <w:tr w:rsidR="003471C1" w:rsidRPr="00497960" w:rsidTr="003471C1">
        <w:tc>
          <w:tcPr>
            <w:tcW w:w="2291" w:type="dxa"/>
          </w:tcPr>
          <w:p w:rsidR="003471C1" w:rsidRPr="00497960" w:rsidRDefault="003471C1" w:rsidP="003A6131">
            <w:pPr>
              <w:jc w:val="both"/>
            </w:pPr>
            <w:r w:rsidRPr="00497960">
              <w:t xml:space="preserve">Pb </w:t>
            </w:r>
          </w:p>
        </w:tc>
        <w:tc>
          <w:tcPr>
            <w:tcW w:w="2291" w:type="dxa"/>
          </w:tcPr>
          <w:p w:rsidR="003471C1" w:rsidRPr="00497960" w:rsidRDefault="003471C1" w:rsidP="003A6131">
            <w:pPr>
              <w:jc w:val="center"/>
            </w:pPr>
            <w:r w:rsidRPr="00497960">
              <w:t>50</w:t>
            </w:r>
          </w:p>
        </w:tc>
        <w:tc>
          <w:tcPr>
            <w:tcW w:w="2292" w:type="dxa"/>
          </w:tcPr>
          <w:p w:rsidR="003471C1" w:rsidRPr="00497960" w:rsidRDefault="003471C1" w:rsidP="003A6131">
            <w:pPr>
              <w:jc w:val="center"/>
            </w:pPr>
            <w:r w:rsidRPr="00497960">
              <w:t>1</w:t>
            </w:r>
          </w:p>
        </w:tc>
        <w:tc>
          <w:tcPr>
            <w:tcW w:w="2292" w:type="dxa"/>
          </w:tcPr>
          <w:p w:rsidR="003471C1" w:rsidRPr="00497960" w:rsidRDefault="003471C1" w:rsidP="003A6131">
            <w:pPr>
              <w:jc w:val="center"/>
            </w:pPr>
            <w:r w:rsidRPr="00497960">
              <w:t>1</w:t>
            </w:r>
          </w:p>
        </w:tc>
      </w:tr>
      <w:tr w:rsidR="003471C1" w:rsidRPr="00497960" w:rsidTr="003471C1">
        <w:tc>
          <w:tcPr>
            <w:tcW w:w="2291" w:type="dxa"/>
            <w:tcBorders>
              <w:bottom w:val="single" w:sz="4" w:space="0" w:color="auto"/>
            </w:tcBorders>
          </w:tcPr>
          <w:p w:rsidR="003471C1" w:rsidRPr="00497960" w:rsidRDefault="003471C1" w:rsidP="003A6131">
            <w:pPr>
              <w:jc w:val="both"/>
            </w:pPr>
            <w:r w:rsidRPr="00497960">
              <w:t xml:space="preserve">Zn </w:t>
            </w:r>
          </w:p>
        </w:tc>
        <w:tc>
          <w:tcPr>
            <w:tcW w:w="2291" w:type="dxa"/>
            <w:tcBorders>
              <w:bottom w:val="single" w:sz="4" w:space="0" w:color="auto"/>
            </w:tcBorders>
          </w:tcPr>
          <w:p w:rsidR="003471C1" w:rsidRPr="00497960" w:rsidRDefault="003471C1" w:rsidP="003A6131">
            <w:pPr>
              <w:jc w:val="center"/>
            </w:pPr>
            <w:r w:rsidRPr="00497960">
              <w:t>50</w:t>
            </w:r>
          </w:p>
        </w:tc>
        <w:tc>
          <w:tcPr>
            <w:tcW w:w="2292" w:type="dxa"/>
            <w:tcBorders>
              <w:bottom w:val="single" w:sz="4" w:space="0" w:color="auto"/>
            </w:tcBorders>
          </w:tcPr>
          <w:p w:rsidR="003471C1" w:rsidRPr="00497960" w:rsidRDefault="003471C1" w:rsidP="003A6131">
            <w:pPr>
              <w:jc w:val="center"/>
            </w:pPr>
            <w:r w:rsidRPr="00497960">
              <w:t>3</w:t>
            </w:r>
          </w:p>
        </w:tc>
        <w:tc>
          <w:tcPr>
            <w:tcW w:w="2292" w:type="dxa"/>
            <w:tcBorders>
              <w:bottom w:val="single" w:sz="4" w:space="0" w:color="auto"/>
            </w:tcBorders>
          </w:tcPr>
          <w:p w:rsidR="003471C1" w:rsidRPr="00497960" w:rsidRDefault="003471C1" w:rsidP="003A6131">
            <w:pPr>
              <w:jc w:val="center"/>
            </w:pPr>
            <w:r w:rsidRPr="00497960">
              <w:t>1,5</w:t>
            </w:r>
          </w:p>
        </w:tc>
      </w:tr>
    </w:tbl>
    <w:p w:rsidR="003471C1" w:rsidRDefault="003471C1" w:rsidP="003A6131">
      <w:pPr>
        <w:jc w:val="both"/>
      </w:pPr>
    </w:p>
    <w:p w:rsidR="003471C1" w:rsidRDefault="003471C1" w:rsidP="003A6131">
      <w:pPr>
        <w:jc w:val="both"/>
      </w:pPr>
      <w:r>
        <w:t xml:space="preserve">Sedimentin </w:t>
      </w:r>
      <w:r w:rsidR="002E4FE2">
        <w:t xml:space="preserve">mitattuja </w:t>
      </w:r>
      <w:r>
        <w:t>haitta-aine</w:t>
      </w:r>
      <w:r w:rsidR="002E4FE2">
        <w:t>iden pitoisuuksia verrataan</w:t>
      </w:r>
      <w:r>
        <w:t xml:space="preserve"> ruoppausmassojen laatukri</w:t>
      </w:r>
      <w:r w:rsidR="002E4FE2">
        <w:t>teere</w:t>
      </w:r>
      <w:r w:rsidR="002E4FE2">
        <w:t>i</w:t>
      </w:r>
      <w:r w:rsidR="002E4FE2">
        <w:t>hin, jolloin saadaan pitoisuuksista aiheutuvat riskiluvut (RCR);</w:t>
      </w:r>
    </w:p>
    <w:p w:rsidR="003471C1" w:rsidRDefault="00172069" w:rsidP="003A6131">
      <w:pPr>
        <w:shd w:val="clear" w:color="auto" w:fill="EEECE1" w:themeFill="background2"/>
        <w:jc w:val="center"/>
      </w:pPr>
      <w:r>
        <w:t>RCR</w:t>
      </w:r>
      <w:r w:rsidR="003471C1">
        <w:t>sediment = Csediment korj. (mg/kg k.a)/ ruoppausmassojen laatukriteeri (mg/kg 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3"/>
        <w:gridCol w:w="2112"/>
      </w:tblGrid>
      <w:tr w:rsidR="003A6131" w:rsidRPr="00497960" w:rsidTr="003A6131">
        <w:tc>
          <w:tcPr>
            <w:tcW w:w="1951" w:type="dxa"/>
            <w:shd w:val="clear" w:color="auto" w:fill="EEECE1" w:themeFill="background2"/>
          </w:tcPr>
          <w:p w:rsidR="003A6131" w:rsidRDefault="003A6131" w:rsidP="003A6131">
            <w:pPr>
              <w:jc w:val="both"/>
            </w:pPr>
            <w:r>
              <w:t>SYÖTTEET</w:t>
            </w:r>
          </w:p>
        </w:tc>
        <w:tc>
          <w:tcPr>
            <w:tcW w:w="5103" w:type="dxa"/>
            <w:shd w:val="clear" w:color="auto" w:fill="EEECE1" w:themeFill="background2"/>
          </w:tcPr>
          <w:p w:rsidR="003A6131" w:rsidRDefault="003A6131" w:rsidP="003A6131">
            <w:pPr>
              <w:jc w:val="both"/>
            </w:pPr>
          </w:p>
        </w:tc>
        <w:tc>
          <w:tcPr>
            <w:tcW w:w="2112" w:type="dxa"/>
            <w:shd w:val="clear" w:color="auto" w:fill="EEECE1" w:themeFill="background2"/>
          </w:tcPr>
          <w:p w:rsidR="003A6131" w:rsidRDefault="003A6131" w:rsidP="003A6131">
            <w:pPr>
              <w:jc w:val="center"/>
              <w:rPr>
                <w:lang w:val="en-US"/>
              </w:rPr>
            </w:pPr>
          </w:p>
        </w:tc>
      </w:tr>
      <w:tr w:rsidR="003471C1" w:rsidRPr="00497960" w:rsidTr="003A6131">
        <w:tc>
          <w:tcPr>
            <w:tcW w:w="1951" w:type="dxa"/>
            <w:tcBorders>
              <w:bottom w:val="single" w:sz="4" w:space="0" w:color="auto"/>
            </w:tcBorders>
            <w:shd w:val="clear" w:color="auto" w:fill="EEECE1" w:themeFill="background2"/>
          </w:tcPr>
          <w:p w:rsidR="003471C1" w:rsidRPr="00497960" w:rsidRDefault="003471C1" w:rsidP="003A6131">
            <w:pPr>
              <w:jc w:val="both"/>
            </w:pPr>
            <w:r>
              <w:t>Parametri</w:t>
            </w:r>
          </w:p>
        </w:tc>
        <w:tc>
          <w:tcPr>
            <w:tcW w:w="5103" w:type="dxa"/>
            <w:tcBorders>
              <w:bottom w:val="single" w:sz="4" w:space="0" w:color="auto"/>
            </w:tcBorders>
            <w:shd w:val="clear" w:color="auto" w:fill="EEECE1" w:themeFill="background2"/>
          </w:tcPr>
          <w:p w:rsidR="003471C1" w:rsidRDefault="003471C1" w:rsidP="003A6131">
            <w:pPr>
              <w:jc w:val="both"/>
            </w:pPr>
            <w:r>
              <w:t>Kuvaus</w:t>
            </w:r>
          </w:p>
        </w:tc>
        <w:tc>
          <w:tcPr>
            <w:tcW w:w="2112" w:type="dxa"/>
            <w:tcBorders>
              <w:bottom w:val="single" w:sz="4" w:space="0" w:color="auto"/>
            </w:tcBorders>
            <w:shd w:val="clear" w:color="auto" w:fill="EEECE1" w:themeFill="background2"/>
          </w:tcPr>
          <w:p w:rsidR="003471C1" w:rsidRPr="00497960" w:rsidRDefault="003471C1" w:rsidP="003A6131">
            <w:pPr>
              <w:jc w:val="center"/>
              <w:rPr>
                <w:lang w:val="en-US"/>
              </w:rPr>
            </w:pPr>
            <w:r>
              <w:rPr>
                <w:lang w:val="en-US"/>
              </w:rPr>
              <w:t>Yksikkö</w:t>
            </w:r>
          </w:p>
        </w:tc>
      </w:tr>
      <w:tr w:rsidR="003471C1" w:rsidRPr="00497960" w:rsidTr="003471C1">
        <w:tc>
          <w:tcPr>
            <w:tcW w:w="1951" w:type="dxa"/>
            <w:tcBorders>
              <w:top w:val="single" w:sz="4" w:space="0" w:color="auto"/>
            </w:tcBorders>
          </w:tcPr>
          <w:p w:rsidR="003471C1" w:rsidRPr="00497960" w:rsidRDefault="00172069" w:rsidP="003A6131">
            <w:pPr>
              <w:jc w:val="both"/>
            </w:pPr>
            <w:r>
              <w:t>RCR</w:t>
            </w:r>
            <w:r w:rsidR="003471C1" w:rsidRPr="00497960">
              <w:t xml:space="preserve">sediment </w:t>
            </w:r>
          </w:p>
        </w:tc>
        <w:tc>
          <w:tcPr>
            <w:tcW w:w="5103" w:type="dxa"/>
            <w:tcBorders>
              <w:top w:val="single" w:sz="4" w:space="0" w:color="auto"/>
            </w:tcBorders>
          </w:tcPr>
          <w:p w:rsidR="003471C1" w:rsidRPr="00497960" w:rsidRDefault="003471C1" w:rsidP="00172069">
            <w:pPr>
              <w:jc w:val="both"/>
            </w:pPr>
            <w:r w:rsidRPr="00497960">
              <w:t xml:space="preserve">haitta-aineen </w:t>
            </w:r>
            <w:r w:rsidR="00172069">
              <w:t>riskiluku</w:t>
            </w:r>
            <w:r w:rsidRPr="00497960">
              <w:t xml:space="preserve"> (ruoppausmassassa)</w:t>
            </w:r>
          </w:p>
        </w:tc>
        <w:tc>
          <w:tcPr>
            <w:tcW w:w="2112" w:type="dxa"/>
            <w:tcBorders>
              <w:top w:val="single" w:sz="4" w:space="0" w:color="auto"/>
            </w:tcBorders>
          </w:tcPr>
          <w:p w:rsidR="003471C1" w:rsidRPr="00497960" w:rsidRDefault="003471C1" w:rsidP="003A6131">
            <w:pPr>
              <w:jc w:val="center"/>
            </w:pPr>
            <w:r>
              <w:t>-</w:t>
            </w:r>
          </w:p>
        </w:tc>
      </w:tr>
      <w:tr w:rsidR="003471C1" w:rsidRPr="00497960" w:rsidTr="003471C1">
        <w:tc>
          <w:tcPr>
            <w:tcW w:w="1951" w:type="dxa"/>
          </w:tcPr>
          <w:p w:rsidR="003471C1" w:rsidRPr="00497960" w:rsidRDefault="003471C1" w:rsidP="003A6131">
            <w:pPr>
              <w:jc w:val="both"/>
            </w:pPr>
            <w:r w:rsidRPr="00497960">
              <w:t xml:space="preserve">Csediment korj. </w:t>
            </w:r>
          </w:p>
        </w:tc>
        <w:tc>
          <w:tcPr>
            <w:tcW w:w="5103" w:type="dxa"/>
          </w:tcPr>
          <w:p w:rsidR="003471C1" w:rsidRPr="00497960" w:rsidRDefault="003471C1" w:rsidP="003A6131">
            <w:pPr>
              <w:jc w:val="both"/>
            </w:pPr>
            <w:r w:rsidRPr="00497960">
              <w:t>haitta-aineen pitoisuus standardisedimentissä</w:t>
            </w:r>
          </w:p>
        </w:tc>
        <w:tc>
          <w:tcPr>
            <w:tcW w:w="2112" w:type="dxa"/>
          </w:tcPr>
          <w:p w:rsidR="003471C1" w:rsidRPr="00497960" w:rsidRDefault="003471C1" w:rsidP="003A6131">
            <w:pPr>
              <w:jc w:val="center"/>
            </w:pPr>
            <w:r>
              <w:t>mg / kg</w:t>
            </w:r>
          </w:p>
        </w:tc>
      </w:tr>
    </w:tbl>
    <w:p w:rsidR="003471C1" w:rsidRDefault="003471C1" w:rsidP="003A6131">
      <w:pPr>
        <w:jc w:val="both"/>
      </w:pPr>
    </w:p>
    <w:p w:rsidR="003471C1" w:rsidRDefault="003471C1" w:rsidP="003A6131">
      <w:pPr>
        <w:jc w:val="both"/>
      </w:pPr>
      <w:r>
        <w:t>Jos perusarvioinnissa saatu vaarasuhde HQ = PECsediment/ruoppausmassan laatukriteerit tulos on &gt; 1, vaaran arviointia tulee tarkentaa kemikaalin biosaatavuuden arvioinnilla.</w:t>
      </w:r>
    </w:p>
    <w:p w:rsidR="003471C1" w:rsidRDefault="003471C1" w:rsidP="003A6131">
      <w:pPr>
        <w:jc w:val="both"/>
      </w:pPr>
    </w:p>
    <w:p w:rsidR="00696FF3" w:rsidRDefault="00696FF3" w:rsidP="003A6131">
      <w:pPr>
        <w:jc w:val="both"/>
      </w:pPr>
    </w:p>
    <w:p w:rsidR="003471C1" w:rsidRDefault="003471C1" w:rsidP="00696FF3">
      <w:pPr>
        <w:pStyle w:val="Heading2"/>
      </w:pPr>
      <w:r>
        <w:lastRenderedPageBreak/>
        <w:t xml:space="preserve">1.2 Vaaranarviointi maaperän haitallisten </w:t>
      </w:r>
      <w:r w:rsidR="00696FF3">
        <w:t>aineiden</w:t>
      </w:r>
      <w:r>
        <w:t xml:space="preserve"> ohjearvopitoisuuksien perusteella </w:t>
      </w:r>
      <w:r w:rsidR="00696FF3">
        <w:t>(PIMA-asetus)</w:t>
      </w:r>
    </w:p>
    <w:p w:rsidR="003471C1" w:rsidRDefault="003471C1" w:rsidP="003A6131">
      <w:pPr>
        <w:jc w:val="both"/>
      </w:pPr>
      <w:r>
        <w:t xml:space="preserve">Sedimentin haitta-aineen </w:t>
      </w:r>
      <w:r w:rsidR="00172069">
        <w:t>riskilukuRCR arvioidaan vertaamalla sedimentin pitoisuuksia</w:t>
      </w:r>
      <w:r>
        <w:t xml:space="preserve"> PIMA ohjearvo</w:t>
      </w:r>
      <w:r w:rsidR="00172069">
        <w:t>ihin</w:t>
      </w:r>
      <w:r>
        <w:t xml:space="preserve"> </w:t>
      </w:r>
      <w:r w:rsidR="00172069">
        <w:t>(VNa 214/2007, Valtioneuvoston asetus maaperän pilaantuneisuuden ja puhdi</w:t>
      </w:r>
      <w:r w:rsidR="00172069">
        <w:t>s</w:t>
      </w:r>
      <w:r w:rsidR="00172069">
        <w:t>tustarpeen arvioinnista) (Ympäristöministeriö 2007)[2].</w:t>
      </w:r>
    </w:p>
    <w:p w:rsidR="003471C1" w:rsidRDefault="00172069" w:rsidP="003A6131">
      <w:pPr>
        <w:shd w:val="clear" w:color="auto" w:fill="EEECE1" w:themeFill="background2"/>
        <w:jc w:val="center"/>
      </w:pPr>
      <w:r>
        <w:rPr>
          <w:lang w:val="en-US"/>
        </w:rPr>
        <w:t>RCR</w:t>
      </w:r>
      <w:r w:rsidR="003471C1" w:rsidRPr="0015179E">
        <w:rPr>
          <w:lang w:val="en-US"/>
        </w:rPr>
        <w:t xml:space="preserve">sediment = total Csediment (mg/kg k.a.)/ </w:t>
      </w:r>
      <w:r w:rsidR="003471C1">
        <w:t>PIMA ohje-arvot (mg/kg 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0"/>
        <w:gridCol w:w="1687"/>
      </w:tblGrid>
      <w:tr w:rsidR="003A6131" w:rsidRPr="00497960" w:rsidTr="003A6131">
        <w:tc>
          <w:tcPr>
            <w:tcW w:w="1809" w:type="dxa"/>
            <w:shd w:val="clear" w:color="auto" w:fill="EEECE1" w:themeFill="background2"/>
          </w:tcPr>
          <w:p w:rsidR="003A6131" w:rsidRDefault="003A6131" w:rsidP="003A6131">
            <w:pPr>
              <w:jc w:val="both"/>
            </w:pPr>
            <w:r>
              <w:t>SYÖTTEET</w:t>
            </w:r>
          </w:p>
        </w:tc>
        <w:tc>
          <w:tcPr>
            <w:tcW w:w="5670" w:type="dxa"/>
            <w:shd w:val="clear" w:color="auto" w:fill="EEECE1" w:themeFill="background2"/>
          </w:tcPr>
          <w:p w:rsidR="003A6131" w:rsidRDefault="003A6131" w:rsidP="003A6131">
            <w:pPr>
              <w:jc w:val="both"/>
            </w:pPr>
          </w:p>
        </w:tc>
        <w:tc>
          <w:tcPr>
            <w:tcW w:w="1687" w:type="dxa"/>
            <w:shd w:val="clear" w:color="auto" w:fill="EEECE1" w:themeFill="background2"/>
          </w:tcPr>
          <w:p w:rsidR="003A6131" w:rsidRDefault="003A6131" w:rsidP="003A6131">
            <w:pPr>
              <w:jc w:val="center"/>
              <w:rPr>
                <w:lang w:val="en-US"/>
              </w:rPr>
            </w:pPr>
          </w:p>
        </w:tc>
      </w:tr>
      <w:tr w:rsidR="003471C1" w:rsidRPr="00497960" w:rsidTr="003A6131">
        <w:tc>
          <w:tcPr>
            <w:tcW w:w="1809" w:type="dxa"/>
            <w:tcBorders>
              <w:bottom w:val="single" w:sz="4" w:space="0" w:color="auto"/>
            </w:tcBorders>
            <w:shd w:val="clear" w:color="auto" w:fill="EEECE1" w:themeFill="background2"/>
          </w:tcPr>
          <w:p w:rsidR="003471C1" w:rsidRPr="00497960" w:rsidRDefault="003471C1" w:rsidP="003A6131">
            <w:pPr>
              <w:jc w:val="both"/>
            </w:pPr>
            <w:r>
              <w:t>Parametri</w:t>
            </w:r>
          </w:p>
        </w:tc>
        <w:tc>
          <w:tcPr>
            <w:tcW w:w="5670" w:type="dxa"/>
            <w:tcBorders>
              <w:bottom w:val="single" w:sz="4" w:space="0" w:color="auto"/>
            </w:tcBorders>
            <w:shd w:val="clear" w:color="auto" w:fill="EEECE1" w:themeFill="background2"/>
          </w:tcPr>
          <w:p w:rsidR="003471C1" w:rsidRDefault="003471C1" w:rsidP="003A6131">
            <w:pPr>
              <w:jc w:val="both"/>
            </w:pPr>
            <w:r>
              <w:t>Kuvaus</w:t>
            </w:r>
          </w:p>
        </w:tc>
        <w:tc>
          <w:tcPr>
            <w:tcW w:w="1687" w:type="dxa"/>
            <w:tcBorders>
              <w:bottom w:val="single" w:sz="4" w:space="0" w:color="auto"/>
            </w:tcBorders>
            <w:shd w:val="clear" w:color="auto" w:fill="EEECE1" w:themeFill="background2"/>
          </w:tcPr>
          <w:p w:rsidR="003471C1" w:rsidRPr="00497960" w:rsidRDefault="003471C1" w:rsidP="003A6131">
            <w:pPr>
              <w:jc w:val="center"/>
              <w:rPr>
                <w:lang w:val="en-US"/>
              </w:rPr>
            </w:pPr>
            <w:r>
              <w:rPr>
                <w:lang w:val="en-US"/>
              </w:rPr>
              <w:t>Yksikkö</w:t>
            </w:r>
          </w:p>
        </w:tc>
      </w:tr>
      <w:tr w:rsidR="003471C1" w:rsidRPr="00497960" w:rsidTr="003471C1">
        <w:tc>
          <w:tcPr>
            <w:tcW w:w="1809" w:type="dxa"/>
            <w:tcBorders>
              <w:top w:val="single" w:sz="4" w:space="0" w:color="auto"/>
            </w:tcBorders>
          </w:tcPr>
          <w:p w:rsidR="003471C1" w:rsidRPr="00497960" w:rsidRDefault="00172069" w:rsidP="003A6131">
            <w:pPr>
              <w:jc w:val="both"/>
            </w:pPr>
            <w:r>
              <w:t>RCR</w:t>
            </w:r>
            <w:r w:rsidR="003471C1" w:rsidRPr="00497960">
              <w:t xml:space="preserve">sediment </w:t>
            </w:r>
          </w:p>
        </w:tc>
        <w:tc>
          <w:tcPr>
            <w:tcW w:w="5670" w:type="dxa"/>
            <w:tcBorders>
              <w:top w:val="single" w:sz="4" w:space="0" w:color="auto"/>
            </w:tcBorders>
          </w:tcPr>
          <w:p w:rsidR="003471C1" w:rsidRPr="00497960" w:rsidRDefault="003471C1" w:rsidP="00172069">
            <w:pPr>
              <w:jc w:val="both"/>
            </w:pPr>
            <w:r w:rsidRPr="00497960">
              <w:t xml:space="preserve">haitta-aineen </w:t>
            </w:r>
            <w:r w:rsidR="00172069">
              <w:t>riskiluku</w:t>
            </w:r>
            <w:r w:rsidRPr="00497960">
              <w:t xml:space="preserve"> (maaperässä)</w:t>
            </w:r>
          </w:p>
        </w:tc>
        <w:tc>
          <w:tcPr>
            <w:tcW w:w="1687" w:type="dxa"/>
            <w:tcBorders>
              <w:top w:val="single" w:sz="4" w:space="0" w:color="auto"/>
            </w:tcBorders>
          </w:tcPr>
          <w:p w:rsidR="003471C1" w:rsidRPr="00497960" w:rsidRDefault="003471C1" w:rsidP="003A6131">
            <w:pPr>
              <w:jc w:val="center"/>
            </w:pPr>
            <w:r>
              <w:t>-</w:t>
            </w:r>
          </w:p>
        </w:tc>
      </w:tr>
      <w:tr w:rsidR="003471C1" w:rsidRPr="00497960" w:rsidTr="003471C1">
        <w:tc>
          <w:tcPr>
            <w:tcW w:w="1809" w:type="dxa"/>
          </w:tcPr>
          <w:p w:rsidR="003471C1" w:rsidRPr="00497960" w:rsidRDefault="003471C1" w:rsidP="003A6131">
            <w:pPr>
              <w:jc w:val="both"/>
            </w:pPr>
            <w:r w:rsidRPr="00497960">
              <w:t xml:space="preserve">total Csediment </w:t>
            </w:r>
          </w:p>
        </w:tc>
        <w:tc>
          <w:tcPr>
            <w:tcW w:w="5670" w:type="dxa"/>
          </w:tcPr>
          <w:p w:rsidR="003471C1" w:rsidRPr="00497960" w:rsidRDefault="003471C1" w:rsidP="003A6131">
            <w:pPr>
              <w:jc w:val="both"/>
            </w:pPr>
            <w:r w:rsidRPr="00497960">
              <w:t xml:space="preserve">haitta-aineen kokonaispitoisuus </w:t>
            </w:r>
          </w:p>
        </w:tc>
        <w:tc>
          <w:tcPr>
            <w:tcW w:w="1687" w:type="dxa"/>
          </w:tcPr>
          <w:p w:rsidR="003471C1" w:rsidRPr="00497960" w:rsidRDefault="003471C1" w:rsidP="003A6131">
            <w:pPr>
              <w:jc w:val="center"/>
            </w:pPr>
            <w:r w:rsidRPr="00497960">
              <w:t>mg</w:t>
            </w:r>
            <w:r>
              <w:t xml:space="preserve"> </w:t>
            </w:r>
            <w:r w:rsidRPr="00497960">
              <w:t>/</w:t>
            </w:r>
            <w:r>
              <w:t xml:space="preserve"> </w:t>
            </w:r>
            <w:r w:rsidRPr="00497960">
              <w:t>kg k.a.</w:t>
            </w:r>
          </w:p>
        </w:tc>
      </w:tr>
      <w:tr w:rsidR="003471C1" w:rsidRPr="00497960" w:rsidTr="003471C1">
        <w:tc>
          <w:tcPr>
            <w:tcW w:w="1809" w:type="dxa"/>
            <w:tcBorders>
              <w:bottom w:val="single" w:sz="4" w:space="0" w:color="auto"/>
            </w:tcBorders>
          </w:tcPr>
          <w:p w:rsidR="003471C1" w:rsidRPr="00497960" w:rsidRDefault="003471C1" w:rsidP="003A6131">
            <w:pPr>
              <w:jc w:val="both"/>
            </w:pPr>
            <w:r w:rsidRPr="00497960">
              <w:t xml:space="preserve">PIMA ohje-arvot </w:t>
            </w:r>
          </w:p>
        </w:tc>
        <w:tc>
          <w:tcPr>
            <w:tcW w:w="5670" w:type="dxa"/>
            <w:tcBorders>
              <w:bottom w:val="single" w:sz="4" w:space="0" w:color="auto"/>
            </w:tcBorders>
          </w:tcPr>
          <w:p w:rsidR="003471C1" w:rsidRPr="00497960" w:rsidRDefault="003471C1" w:rsidP="003A6131">
            <w:pPr>
              <w:jc w:val="both"/>
            </w:pPr>
            <w:r w:rsidRPr="00497960">
              <w:t>maaperän ohjearvot (kts. Metalliyhdisteiden ekologisten riskien luonnehdinta maaekosysteemeille)</w:t>
            </w:r>
          </w:p>
        </w:tc>
        <w:tc>
          <w:tcPr>
            <w:tcW w:w="1687" w:type="dxa"/>
            <w:tcBorders>
              <w:bottom w:val="single" w:sz="4" w:space="0" w:color="auto"/>
            </w:tcBorders>
          </w:tcPr>
          <w:p w:rsidR="003471C1" w:rsidRPr="00497960" w:rsidRDefault="003471C1" w:rsidP="003A6131">
            <w:pPr>
              <w:jc w:val="center"/>
            </w:pPr>
            <w:r>
              <w:t>mg / kg</w:t>
            </w:r>
          </w:p>
        </w:tc>
      </w:tr>
    </w:tbl>
    <w:p w:rsidR="003471C1" w:rsidRDefault="003471C1" w:rsidP="003A6131">
      <w:pPr>
        <w:jc w:val="both"/>
      </w:pPr>
    </w:p>
    <w:p w:rsidR="003471C1" w:rsidRDefault="003471C1" w:rsidP="003A6131">
      <w:pPr>
        <w:jc w:val="both"/>
      </w:pPr>
      <w:r>
        <w:t xml:space="preserve">Jos perusarvioinnissa saatu vaarasuhde </w:t>
      </w:r>
      <w:r w:rsidR="00172069">
        <w:t>RCR</w:t>
      </w:r>
      <w:r>
        <w:t xml:space="preserve"> = PECsediment/PIMA -ohjearvot tulos on &gt; 1, va</w:t>
      </w:r>
      <w:r>
        <w:t>a</w:t>
      </w:r>
      <w:r>
        <w:t>ran arviointia tulee tarkentaa kemikaalin biosaatavuuden arvioinnilla.</w:t>
      </w:r>
    </w:p>
    <w:p w:rsidR="003471C1" w:rsidRDefault="003471C1" w:rsidP="003A6131">
      <w:pPr>
        <w:jc w:val="both"/>
      </w:pPr>
    </w:p>
    <w:p w:rsidR="003471C1" w:rsidRDefault="003471C1" w:rsidP="00696FF3">
      <w:pPr>
        <w:pStyle w:val="Heading1"/>
      </w:pPr>
      <w:r>
        <w:t>2. Tarkennettu arviointi</w:t>
      </w:r>
    </w:p>
    <w:p w:rsidR="003471C1" w:rsidRDefault="003471C1" w:rsidP="003A6131">
      <w:pPr>
        <w:jc w:val="both"/>
      </w:pPr>
      <w:r>
        <w:t xml:space="preserve">Jos perusarvioinnissa saatu vaarasuhde </w:t>
      </w:r>
      <w:r w:rsidR="003A6131">
        <w:t>(</w:t>
      </w:r>
      <w:r>
        <w:t>HQ</w:t>
      </w:r>
      <w:r w:rsidR="003A6131">
        <w:t>)</w:t>
      </w:r>
      <w:r>
        <w:t xml:space="preserve"> on &gt; 1, vaaran arvioimista tulee tarkentaa vaihei</w:t>
      </w:r>
      <w:r>
        <w:t>t</w:t>
      </w:r>
      <w:r>
        <w:t>taisella tarkennuksella (ECHA 2008)[3]:</w:t>
      </w:r>
    </w:p>
    <w:p w:rsidR="003471C1" w:rsidRDefault="003471C1" w:rsidP="003A6131">
      <w:pPr>
        <w:jc w:val="both"/>
      </w:pPr>
      <w:r>
        <w:t>1) Tasapainokerroin (Kd - sedimentti:vesi –jakautumiskerroin)</w:t>
      </w:r>
    </w:p>
    <w:p w:rsidR="003471C1" w:rsidRDefault="003471C1" w:rsidP="003A6131">
      <w:pPr>
        <w:jc w:val="both"/>
      </w:pPr>
      <w:r>
        <w:t>2) Yleisen PNEC arvon johtaminen sedimenteille</w:t>
      </w:r>
    </w:p>
    <w:p w:rsidR="003471C1" w:rsidRDefault="003471C1" w:rsidP="003A6131">
      <w:pPr>
        <w:jc w:val="both"/>
      </w:pPr>
      <w:r>
        <w:t>3) Biosaatavuuserojen korjaus: kohdekohtaisen PNEC arvon johtaminen</w:t>
      </w:r>
    </w:p>
    <w:p w:rsidR="003471C1" w:rsidRDefault="003471C1" w:rsidP="003A6131">
      <w:pPr>
        <w:jc w:val="both"/>
      </w:pPr>
    </w:p>
    <w:p w:rsidR="003471C1" w:rsidRDefault="003471C1" w:rsidP="003A6131">
      <w:pPr>
        <w:jc w:val="both"/>
      </w:pPr>
      <w:r>
        <w:t>Vaihe 1: Kd - sedimentti:vesi -jakautumiskerroin</w:t>
      </w:r>
    </w:p>
    <w:p w:rsidR="003471C1" w:rsidRDefault="003471C1" w:rsidP="003A6131">
      <w:pPr>
        <w:jc w:val="both"/>
      </w:pPr>
      <w:r>
        <w:t>Jos vesistöjen pohjasedimenttille ei ole saatavilla luotettavaa toksisuustietoa, sedimentin PNEC arvo voidaan laskea tasapainokertoimen avulla käyttämällä pintaveden PNEC arvoa ja pahi</w:t>
      </w:r>
      <w:r>
        <w:t>m</w:t>
      </w:r>
      <w:r>
        <w:t>man tilanteen sedimentti : vesi –jakautumiskerrointa (Kd):</w:t>
      </w:r>
    </w:p>
    <w:p w:rsidR="003471C1" w:rsidRPr="0015179E" w:rsidRDefault="003471C1" w:rsidP="003A6131">
      <w:pPr>
        <w:shd w:val="clear" w:color="auto" w:fill="EEECE1" w:themeFill="background2"/>
        <w:jc w:val="center"/>
        <w:rPr>
          <w:lang w:val="en-US"/>
        </w:rPr>
      </w:pPr>
      <w:r w:rsidRPr="0015179E">
        <w:rPr>
          <w:lang w:val="en-US"/>
        </w:rPr>
        <w:t>PNECsediment (mg/kg) = PNECfreshwater (mg/L)* Kd( L/kg)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5670"/>
        <w:gridCol w:w="1828"/>
      </w:tblGrid>
      <w:tr w:rsidR="003A6131" w:rsidRPr="00497960" w:rsidTr="003A6131">
        <w:tc>
          <w:tcPr>
            <w:tcW w:w="1668" w:type="dxa"/>
            <w:shd w:val="clear" w:color="auto" w:fill="EEECE1" w:themeFill="background2"/>
          </w:tcPr>
          <w:p w:rsidR="003A6131" w:rsidRDefault="003A6131" w:rsidP="003A6131">
            <w:pPr>
              <w:jc w:val="both"/>
            </w:pPr>
            <w:r>
              <w:t>SYÖTTEET</w:t>
            </w:r>
          </w:p>
        </w:tc>
        <w:tc>
          <w:tcPr>
            <w:tcW w:w="5670" w:type="dxa"/>
            <w:shd w:val="clear" w:color="auto" w:fill="EEECE1" w:themeFill="background2"/>
          </w:tcPr>
          <w:p w:rsidR="003A6131" w:rsidRDefault="003A6131" w:rsidP="003A6131">
            <w:pPr>
              <w:jc w:val="both"/>
            </w:pPr>
          </w:p>
        </w:tc>
        <w:tc>
          <w:tcPr>
            <w:tcW w:w="1828" w:type="dxa"/>
            <w:shd w:val="clear" w:color="auto" w:fill="EEECE1" w:themeFill="background2"/>
          </w:tcPr>
          <w:p w:rsidR="003A6131" w:rsidRDefault="003A6131" w:rsidP="003A6131">
            <w:pPr>
              <w:jc w:val="both"/>
              <w:rPr>
                <w:lang w:val="en-US"/>
              </w:rPr>
            </w:pPr>
          </w:p>
        </w:tc>
      </w:tr>
      <w:tr w:rsidR="003471C1" w:rsidRPr="00497960" w:rsidTr="003A6131">
        <w:tc>
          <w:tcPr>
            <w:tcW w:w="1668" w:type="dxa"/>
            <w:tcBorders>
              <w:bottom w:val="single" w:sz="4" w:space="0" w:color="auto"/>
            </w:tcBorders>
            <w:shd w:val="clear" w:color="auto" w:fill="EEECE1" w:themeFill="background2"/>
          </w:tcPr>
          <w:p w:rsidR="003471C1" w:rsidRPr="00497960" w:rsidRDefault="003471C1" w:rsidP="003A6131">
            <w:pPr>
              <w:jc w:val="both"/>
            </w:pPr>
            <w:r>
              <w:t>Parametri</w:t>
            </w:r>
          </w:p>
        </w:tc>
        <w:tc>
          <w:tcPr>
            <w:tcW w:w="5670" w:type="dxa"/>
            <w:tcBorders>
              <w:bottom w:val="single" w:sz="4" w:space="0" w:color="auto"/>
            </w:tcBorders>
            <w:shd w:val="clear" w:color="auto" w:fill="EEECE1" w:themeFill="background2"/>
          </w:tcPr>
          <w:p w:rsidR="003471C1" w:rsidRDefault="003471C1" w:rsidP="003A6131">
            <w:pPr>
              <w:jc w:val="both"/>
            </w:pPr>
            <w:r>
              <w:t>Kuvaus</w:t>
            </w:r>
          </w:p>
        </w:tc>
        <w:tc>
          <w:tcPr>
            <w:tcW w:w="1828" w:type="dxa"/>
            <w:tcBorders>
              <w:bottom w:val="single" w:sz="4" w:space="0" w:color="auto"/>
            </w:tcBorders>
            <w:shd w:val="clear" w:color="auto" w:fill="EEECE1" w:themeFill="background2"/>
          </w:tcPr>
          <w:p w:rsidR="003471C1" w:rsidRPr="00497960" w:rsidRDefault="003471C1" w:rsidP="003A6131">
            <w:pPr>
              <w:jc w:val="both"/>
              <w:rPr>
                <w:lang w:val="en-US"/>
              </w:rPr>
            </w:pPr>
            <w:r>
              <w:rPr>
                <w:lang w:val="en-US"/>
              </w:rPr>
              <w:t>Yksikkö</w:t>
            </w:r>
          </w:p>
        </w:tc>
      </w:tr>
      <w:tr w:rsidR="003471C1" w:rsidRPr="00497960" w:rsidTr="005830CA">
        <w:tc>
          <w:tcPr>
            <w:tcW w:w="1668" w:type="dxa"/>
            <w:tcBorders>
              <w:top w:val="single" w:sz="4" w:space="0" w:color="auto"/>
            </w:tcBorders>
          </w:tcPr>
          <w:p w:rsidR="003471C1" w:rsidRPr="00497960" w:rsidRDefault="003471C1" w:rsidP="003A6131">
            <w:pPr>
              <w:jc w:val="both"/>
            </w:pPr>
            <w:r w:rsidRPr="00497960">
              <w:lastRenderedPageBreak/>
              <w:t>PNECsediment</w:t>
            </w:r>
          </w:p>
        </w:tc>
        <w:tc>
          <w:tcPr>
            <w:tcW w:w="5670" w:type="dxa"/>
            <w:tcBorders>
              <w:top w:val="single" w:sz="4" w:space="0" w:color="auto"/>
            </w:tcBorders>
          </w:tcPr>
          <w:p w:rsidR="003471C1" w:rsidRPr="00497960" w:rsidRDefault="003471C1" w:rsidP="003A6131">
            <w:pPr>
              <w:jc w:val="both"/>
            </w:pPr>
            <w:r>
              <w:t xml:space="preserve"> </w:t>
            </w:r>
            <w:r w:rsidRPr="00497960">
              <w:t xml:space="preserve">sedimentin haitaton pitoisuus </w:t>
            </w:r>
          </w:p>
        </w:tc>
        <w:tc>
          <w:tcPr>
            <w:tcW w:w="1828" w:type="dxa"/>
            <w:tcBorders>
              <w:top w:val="single" w:sz="4" w:space="0" w:color="auto"/>
            </w:tcBorders>
          </w:tcPr>
          <w:p w:rsidR="003471C1" w:rsidRPr="00497960" w:rsidRDefault="003471C1" w:rsidP="003A6131">
            <w:pPr>
              <w:jc w:val="both"/>
            </w:pPr>
            <w:r w:rsidRPr="00497960">
              <w:t>mg</w:t>
            </w:r>
            <w:r>
              <w:t xml:space="preserve"> </w:t>
            </w:r>
            <w:r w:rsidRPr="00497960">
              <w:t>/</w:t>
            </w:r>
            <w:r>
              <w:t xml:space="preserve"> </w:t>
            </w:r>
            <w:r w:rsidRPr="00497960">
              <w:t>kg</w:t>
            </w:r>
          </w:p>
        </w:tc>
      </w:tr>
      <w:tr w:rsidR="003471C1" w:rsidRPr="00497960" w:rsidTr="005830CA">
        <w:tc>
          <w:tcPr>
            <w:tcW w:w="1668" w:type="dxa"/>
          </w:tcPr>
          <w:p w:rsidR="003471C1" w:rsidRPr="00497960" w:rsidRDefault="003471C1" w:rsidP="003A6131">
            <w:pPr>
              <w:jc w:val="both"/>
            </w:pPr>
            <w:r w:rsidRPr="00497960">
              <w:t xml:space="preserve">PNECfreswater </w:t>
            </w:r>
          </w:p>
        </w:tc>
        <w:tc>
          <w:tcPr>
            <w:tcW w:w="5670" w:type="dxa"/>
          </w:tcPr>
          <w:p w:rsidR="003471C1" w:rsidRPr="00497960" w:rsidRDefault="003471C1" w:rsidP="003A6131">
            <w:pPr>
              <w:jc w:val="both"/>
            </w:pPr>
            <w:r w:rsidRPr="00497960">
              <w:t xml:space="preserve">makean veden haitaton pitoisuus </w:t>
            </w:r>
          </w:p>
        </w:tc>
        <w:tc>
          <w:tcPr>
            <w:tcW w:w="1828" w:type="dxa"/>
          </w:tcPr>
          <w:p w:rsidR="003471C1" w:rsidRPr="00497960" w:rsidRDefault="003471C1" w:rsidP="003A6131">
            <w:pPr>
              <w:jc w:val="both"/>
            </w:pPr>
            <w:r w:rsidRPr="00497960">
              <w:t>mg</w:t>
            </w:r>
            <w:r>
              <w:t xml:space="preserve"> </w:t>
            </w:r>
            <w:r w:rsidRPr="00497960">
              <w:t>/</w:t>
            </w:r>
            <w:r>
              <w:t xml:space="preserve"> </w:t>
            </w:r>
            <w:r w:rsidRPr="00497960">
              <w:t>L</w:t>
            </w:r>
          </w:p>
        </w:tc>
      </w:tr>
      <w:tr w:rsidR="003471C1" w:rsidRPr="00497960" w:rsidTr="005830CA">
        <w:tc>
          <w:tcPr>
            <w:tcW w:w="1668" w:type="dxa"/>
            <w:tcBorders>
              <w:bottom w:val="single" w:sz="4" w:space="0" w:color="auto"/>
            </w:tcBorders>
          </w:tcPr>
          <w:p w:rsidR="003471C1" w:rsidRPr="00497960" w:rsidRDefault="003471C1" w:rsidP="003A6131">
            <w:pPr>
              <w:jc w:val="both"/>
            </w:pPr>
            <w:r w:rsidRPr="00497960">
              <w:t xml:space="preserve">Kd </w:t>
            </w:r>
          </w:p>
        </w:tc>
        <w:tc>
          <w:tcPr>
            <w:tcW w:w="5670" w:type="dxa"/>
            <w:tcBorders>
              <w:bottom w:val="single" w:sz="4" w:space="0" w:color="auto"/>
            </w:tcBorders>
          </w:tcPr>
          <w:p w:rsidR="003471C1" w:rsidRPr="00497960" w:rsidRDefault="003471C1" w:rsidP="003A6131">
            <w:pPr>
              <w:jc w:val="both"/>
            </w:pPr>
            <w:r w:rsidRPr="00497960">
              <w:t>metallin tasapainokerroin sedimentin ja veden välillä</w:t>
            </w:r>
          </w:p>
        </w:tc>
        <w:tc>
          <w:tcPr>
            <w:tcW w:w="1828" w:type="dxa"/>
            <w:tcBorders>
              <w:bottom w:val="single" w:sz="4" w:space="0" w:color="auto"/>
            </w:tcBorders>
          </w:tcPr>
          <w:p w:rsidR="003471C1" w:rsidRPr="00497960" w:rsidRDefault="003471C1" w:rsidP="003A6131">
            <w:pPr>
              <w:jc w:val="both"/>
            </w:pPr>
            <w:r w:rsidRPr="00497960">
              <w:t>L</w:t>
            </w:r>
            <w:r>
              <w:t xml:space="preserve"> </w:t>
            </w:r>
            <w:r w:rsidRPr="00497960">
              <w:t>/</w:t>
            </w:r>
            <w:r>
              <w:t xml:space="preserve"> </w:t>
            </w:r>
            <w:r w:rsidRPr="00497960">
              <w:t>kg</w:t>
            </w:r>
          </w:p>
        </w:tc>
      </w:tr>
    </w:tbl>
    <w:p w:rsidR="003471C1" w:rsidRDefault="003471C1" w:rsidP="003A6131">
      <w:pPr>
        <w:jc w:val="both"/>
      </w:pPr>
    </w:p>
    <w:p w:rsidR="003471C1" w:rsidRDefault="003471C1" w:rsidP="003A6131">
      <w:pPr>
        <w:jc w:val="both"/>
      </w:pPr>
      <w:r>
        <w:t>Pääsääntöisesti jakautumiskerroin määritetään sedimenttin ja huokosveden metallipitoisuuden tasapainosuhteesta:</w:t>
      </w:r>
    </w:p>
    <w:p w:rsidR="003471C1" w:rsidRPr="0015179E" w:rsidRDefault="003471C1" w:rsidP="003A6131">
      <w:pPr>
        <w:shd w:val="clear" w:color="auto" w:fill="EEECE1" w:themeFill="background2"/>
        <w:jc w:val="center"/>
        <w:rPr>
          <w:lang w:val="en-US"/>
        </w:rPr>
      </w:pPr>
      <w:r w:rsidRPr="0015179E">
        <w:rPr>
          <w:lang w:val="en-US"/>
        </w:rPr>
        <w:t>Kd= Cs (mg/kg dw)⁄Caq (mg/L)</w:t>
      </w:r>
    </w:p>
    <w:p w:rsidR="003471C1" w:rsidRPr="003471C1" w:rsidRDefault="003471C1" w:rsidP="003A6131">
      <w:pPr>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5924"/>
        <w:gridCol w:w="1909"/>
      </w:tblGrid>
      <w:tr w:rsidR="003A6131" w:rsidRPr="00497960" w:rsidTr="003A6131">
        <w:tc>
          <w:tcPr>
            <w:tcW w:w="910" w:type="pct"/>
            <w:shd w:val="clear" w:color="auto" w:fill="EEECE1" w:themeFill="background2"/>
          </w:tcPr>
          <w:p w:rsidR="003A6131" w:rsidRDefault="003A6131" w:rsidP="003A6131">
            <w:pPr>
              <w:jc w:val="both"/>
            </w:pPr>
            <w:r>
              <w:t>SYÖTTEET</w:t>
            </w:r>
          </w:p>
        </w:tc>
        <w:tc>
          <w:tcPr>
            <w:tcW w:w="3093" w:type="pct"/>
            <w:shd w:val="clear" w:color="auto" w:fill="EEECE1" w:themeFill="background2"/>
          </w:tcPr>
          <w:p w:rsidR="003A6131" w:rsidRDefault="003A6131" w:rsidP="003A6131">
            <w:pPr>
              <w:jc w:val="both"/>
            </w:pPr>
          </w:p>
        </w:tc>
        <w:tc>
          <w:tcPr>
            <w:tcW w:w="997" w:type="pct"/>
            <w:shd w:val="clear" w:color="auto" w:fill="EEECE1" w:themeFill="background2"/>
            <w:vAlign w:val="center"/>
          </w:tcPr>
          <w:p w:rsidR="003A6131" w:rsidRDefault="003A6131" w:rsidP="003A6131">
            <w:pPr>
              <w:jc w:val="both"/>
              <w:rPr>
                <w:lang w:val="en-US"/>
              </w:rPr>
            </w:pPr>
          </w:p>
        </w:tc>
      </w:tr>
      <w:tr w:rsidR="003471C1" w:rsidRPr="00497960" w:rsidTr="003A6131">
        <w:tc>
          <w:tcPr>
            <w:tcW w:w="910" w:type="pct"/>
            <w:tcBorders>
              <w:bottom w:val="single" w:sz="4" w:space="0" w:color="auto"/>
            </w:tcBorders>
            <w:shd w:val="clear" w:color="auto" w:fill="EEECE1" w:themeFill="background2"/>
          </w:tcPr>
          <w:p w:rsidR="003471C1" w:rsidRPr="00497960" w:rsidRDefault="003471C1" w:rsidP="003A6131">
            <w:pPr>
              <w:jc w:val="both"/>
            </w:pPr>
            <w:r>
              <w:t>Parametri</w:t>
            </w:r>
          </w:p>
        </w:tc>
        <w:tc>
          <w:tcPr>
            <w:tcW w:w="3093" w:type="pct"/>
            <w:tcBorders>
              <w:bottom w:val="single" w:sz="4" w:space="0" w:color="auto"/>
            </w:tcBorders>
            <w:shd w:val="clear" w:color="auto" w:fill="EEECE1" w:themeFill="background2"/>
          </w:tcPr>
          <w:p w:rsidR="003471C1" w:rsidRDefault="003471C1" w:rsidP="003A6131">
            <w:pPr>
              <w:jc w:val="both"/>
            </w:pPr>
            <w:r>
              <w:t>Kuvaus</w:t>
            </w:r>
          </w:p>
        </w:tc>
        <w:tc>
          <w:tcPr>
            <w:tcW w:w="997" w:type="pct"/>
            <w:tcBorders>
              <w:bottom w:val="single" w:sz="4" w:space="0" w:color="auto"/>
            </w:tcBorders>
            <w:shd w:val="clear" w:color="auto" w:fill="EEECE1" w:themeFill="background2"/>
            <w:vAlign w:val="center"/>
          </w:tcPr>
          <w:p w:rsidR="003471C1" w:rsidRPr="00497960" w:rsidRDefault="003471C1" w:rsidP="003A6131">
            <w:pPr>
              <w:jc w:val="both"/>
              <w:rPr>
                <w:lang w:val="en-US"/>
              </w:rPr>
            </w:pPr>
            <w:r>
              <w:rPr>
                <w:lang w:val="en-US"/>
              </w:rPr>
              <w:t>Yksikkö</w:t>
            </w:r>
          </w:p>
        </w:tc>
      </w:tr>
      <w:tr w:rsidR="003471C1" w:rsidRPr="00497960" w:rsidTr="003471C1">
        <w:tc>
          <w:tcPr>
            <w:tcW w:w="910" w:type="pct"/>
            <w:tcBorders>
              <w:top w:val="single" w:sz="4" w:space="0" w:color="auto"/>
            </w:tcBorders>
          </w:tcPr>
          <w:p w:rsidR="003471C1" w:rsidRPr="00497960" w:rsidRDefault="003471C1" w:rsidP="003A6131">
            <w:pPr>
              <w:jc w:val="both"/>
            </w:pPr>
            <w:r w:rsidRPr="00497960">
              <w:t xml:space="preserve">Cs </w:t>
            </w:r>
          </w:p>
        </w:tc>
        <w:tc>
          <w:tcPr>
            <w:tcW w:w="3093" w:type="pct"/>
            <w:tcBorders>
              <w:top w:val="single" w:sz="4" w:space="0" w:color="auto"/>
            </w:tcBorders>
          </w:tcPr>
          <w:p w:rsidR="003471C1" w:rsidRPr="00497960" w:rsidRDefault="003471C1" w:rsidP="003A6131">
            <w:pPr>
              <w:jc w:val="both"/>
            </w:pPr>
            <w:r w:rsidRPr="00497960">
              <w:t>metallin kokonais(saatava)pitoisuus sedimentissä</w:t>
            </w:r>
          </w:p>
        </w:tc>
        <w:tc>
          <w:tcPr>
            <w:tcW w:w="997" w:type="pct"/>
            <w:tcBorders>
              <w:top w:val="single" w:sz="4" w:space="0" w:color="auto"/>
            </w:tcBorders>
            <w:vAlign w:val="center"/>
          </w:tcPr>
          <w:p w:rsidR="003471C1" w:rsidRPr="00497960" w:rsidRDefault="003471C1" w:rsidP="003A6131">
            <w:pPr>
              <w:jc w:val="both"/>
            </w:pPr>
            <w:r w:rsidRPr="00497960">
              <w:t>mg</w:t>
            </w:r>
            <w:r>
              <w:t xml:space="preserve"> </w:t>
            </w:r>
            <w:r w:rsidRPr="00497960">
              <w:t>/</w:t>
            </w:r>
            <w:r>
              <w:t xml:space="preserve"> </w:t>
            </w:r>
            <w:r w:rsidRPr="00497960">
              <w:t>kg dw</w:t>
            </w:r>
            <w:r>
              <w:t xml:space="preserve"> </w:t>
            </w:r>
          </w:p>
        </w:tc>
      </w:tr>
      <w:tr w:rsidR="003471C1" w:rsidRPr="00497960" w:rsidTr="005830CA">
        <w:tc>
          <w:tcPr>
            <w:tcW w:w="910" w:type="pct"/>
          </w:tcPr>
          <w:p w:rsidR="003471C1" w:rsidRPr="00497960" w:rsidRDefault="003471C1" w:rsidP="003A6131">
            <w:pPr>
              <w:jc w:val="both"/>
            </w:pPr>
            <w:r w:rsidRPr="00497960">
              <w:t xml:space="preserve">Caq </w:t>
            </w:r>
          </w:p>
        </w:tc>
        <w:tc>
          <w:tcPr>
            <w:tcW w:w="3093" w:type="pct"/>
          </w:tcPr>
          <w:p w:rsidR="003471C1" w:rsidRPr="00497960" w:rsidRDefault="003471C1" w:rsidP="003A6131">
            <w:pPr>
              <w:jc w:val="both"/>
            </w:pPr>
            <w:r w:rsidRPr="00497960">
              <w:t xml:space="preserve">metallin pitoisuus huokosvedessä </w:t>
            </w:r>
          </w:p>
        </w:tc>
        <w:tc>
          <w:tcPr>
            <w:tcW w:w="997" w:type="pct"/>
            <w:vAlign w:val="center"/>
          </w:tcPr>
          <w:p w:rsidR="003471C1" w:rsidRPr="00497960" w:rsidRDefault="003471C1" w:rsidP="003A6131">
            <w:pPr>
              <w:jc w:val="both"/>
            </w:pPr>
            <w:r w:rsidRPr="00497960">
              <w:t>mg</w:t>
            </w:r>
            <w:r>
              <w:t xml:space="preserve"> </w:t>
            </w:r>
            <w:r w:rsidRPr="00497960">
              <w:t>/</w:t>
            </w:r>
            <w:r>
              <w:t xml:space="preserve"> </w:t>
            </w:r>
            <w:r w:rsidRPr="00497960">
              <w:t>L</w:t>
            </w:r>
          </w:p>
        </w:tc>
      </w:tr>
      <w:tr w:rsidR="003471C1" w:rsidRPr="00497960" w:rsidTr="005830CA">
        <w:tc>
          <w:tcPr>
            <w:tcW w:w="910" w:type="pct"/>
            <w:tcBorders>
              <w:bottom w:val="single" w:sz="4" w:space="0" w:color="auto"/>
            </w:tcBorders>
          </w:tcPr>
          <w:p w:rsidR="003471C1" w:rsidRPr="00497960" w:rsidRDefault="003471C1" w:rsidP="003A6131">
            <w:pPr>
              <w:jc w:val="both"/>
            </w:pPr>
            <w:r>
              <w:t>dw</w:t>
            </w:r>
          </w:p>
        </w:tc>
        <w:tc>
          <w:tcPr>
            <w:tcW w:w="3093" w:type="pct"/>
            <w:tcBorders>
              <w:bottom w:val="single" w:sz="4" w:space="0" w:color="auto"/>
            </w:tcBorders>
          </w:tcPr>
          <w:p w:rsidR="003471C1" w:rsidRPr="00497960" w:rsidRDefault="003471C1" w:rsidP="003A6131">
            <w:pPr>
              <w:jc w:val="both"/>
            </w:pPr>
            <w:r>
              <w:t>kuiva paino (dry weight)</w:t>
            </w:r>
          </w:p>
        </w:tc>
        <w:tc>
          <w:tcPr>
            <w:tcW w:w="997" w:type="pct"/>
            <w:tcBorders>
              <w:bottom w:val="single" w:sz="4" w:space="0" w:color="auto"/>
            </w:tcBorders>
            <w:vAlign w:val="center"/>
          </w:tcPr>
          <w:p w:rsidR="003471C1" w:rsidRPr="00497960" w:rsidRDefault="003471C1" w:rsidP="003A6131">
            <w:pPr>
              <w:jc w:val="both"/>
            </w:pPr>
          </w:p>
        </w:tc>
      </w:tr>
    </w:tbl>
    <w:p w:rsidR="003471C1" w:rsidRDefault="003471C1" w:rsidP="003A6131">
      <w:pPr>
        <w:jc w:val="both"/>
      </w:pPr>
    </w:p>
    <w:p w:rsidR="003471C1" w:rsidRDefault="003471C1" w:rsidP="003A6131">
      <w:pPr>
        <w:jc w:val="both"/>
      </w:pPr>
      <w:r>
        <w:t>Vaihe 2: Yleinen PNEC -arvo sedimenteille</w:t>
      </w:r>
    </w:p>
    <w:p w:rsidR="003471C1" w:rsidRDefault="003471C1" w:rsidP="003A6131">
      <w:pPr>
        <w:jc w:val="both"/>
      </w:pPr>
      <w:r>
        <w:t xml:space="preserve">Jos tasapainokerroinmenetelmällä saatu riskiluku </w:t>
      </w:r>
      <w:r w:rsidR="003A6131">
        <w:t>(</w:t>
      </w:r>
      <w:r>
        <w:t>RCR</w:t>
      </w:r>
      <w:r w:rsidR="003A6131">
        <w:t>)</w:t>
      </w:r>
      <w:r>
        <w:t xml:space="preserve"> on &gt;1, vaaran arvioimista tulee tarke</w:t>
      </w:r>
      <w:r>
        <w:t>n</w:t>
      </w:r>
      <w:r>
        <w:t>taa käyttämällä sedimenttieliöiden toksisuustestejä ja johdetaan yleinen PNEC arvo sedimenti</w:t>
      </w:r>
      <w:r>
        <w:t>l</w:t>
      </w:r>
      <w:r>
        <w:t>le</w:t>
      </w:r>
      <w:r w:rsidR="00696FF3">
        <w:t xml:space="preserve"> joko arviointikertoimella (AF) tai lajien välisestä herkkyysjakaumasta (SDD jakauma) kuten on esitetty vesistöjen ja maaperän ekologisten riskien arviointien kohdalla</w:t>
      </w:r>
      <w:r>
        <w:t>.</w:t>
      </w:r>
    </w:p>
    <w:p w:rsidR="00801898" w:rsidRPr="002B7B3D" w:rsidRDefault="00801898" w:rsidP="00801898">
      <w:pPr>
        <w:jc w:val="both"/>
      </w:pPr>
      <w:r w:rsidRPr="002B7B3D">
        <w:t>Arviointikertoimen avulla PNEC johdetaan seuraavasti:</w:t>
      </w:r>
    </w:p>
    <w:p w:rsidR="00801898" w:rsidRPr="001F26CA" w:rsidRDefault="00801898" w:rsidP="00801898">
      <w:pPr>
        <w:shd w:val="clear" w:color="auto" w:fill="EEECE1" w:themeFill="background2"/>
        <w:jc w:val="center"/>
      </w:pPr>
      <w:r w:rsidRPr="001F26CA">
        <w:t xml:space="preserve">PNEC= </w:t>
      </w:r>
      <w:r w:rsidRPr="002B7B3D">
        <w:rPr>
          <w:rFonts w:cs="Cambria Math"/>
        </w:rPr>
        <w:t>NOEC</w:t>
      </w:r>
      <w:r w:rsidRPr="001F26CA">
        <w:t>alin ⁄ AF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3"/>
        <w:gridCol w:w="1463"/>
      </w:tblGrid>
      <w:tr w:rsidR="00801898" w:rsidRPr="00B755DE" w:rsidTr="0057091D">
        <w:trPr>
          <w:trHeight w:val="340"/>
        </w:trPr>
        <w:tc>
          <w:tcPr>
            <w:tcW w:w="5000" w:type="pct"/>
            <w:gridSpan w:val="2"/>
            <w:shd w:val="clear" w:color="auto" w:fill="auto"/>
            <w:noWrap/>
            <w:hideMark/>
          </w:tcPr>
          <w:p w:rsidR="00801898" w:rsidRPr="002B7B3D" w:rsidRDefault="00801898" w:rsidP="0057091D">
            <w:pPr>
              <w:jc w:val="both"/>
            </w:pPr>
            <w:r w:rsidRPr="002B7B3D">
              <w:t>Taulukko 4. Arviointifaktorin (AF) määräytyminen johdettaessa PNECvesistö arvoa</w:t>
            </w:r>
          </w:p>
        </w:tc>
      </w:tr>
      <w:tr w:rsidR="00801898" w:rsidRPr="002B7B3D" w:rsidTr="0057091D">
        <w:trPr>
          <w:trHeight w:val="340"/>
        </w:trPr>
        <w:tc>
          <w:tcPr>
            <w:tcW w:w="4236" w:type="pct"/>
            <w:tcBorders>
              <w:bottom w:val="single" w:sz="4" w:space="0" w:color="auto"/>
            </w:tcBorders>
            <w:shd w:val="clear" w:color="auto" w:fill="EEECE1" w:themeFill="background2"/>
            <w:noWrap/>
            <w:hideMark/>
          </w:tcPr>
          <w:p w:rsidR="00801898" w:rsidRPr="002B7B3D" w:rsidRDefault="00801898" w:rsidP="0057091D">
            <w:pPr>
              <w:jc w:val="both"/>
              <w:rPr>
                <w:lang w:val="en-US"/>
              </w:rPr>
            </w:pPr>
            <w:r w:rsidRPr="002B7B3D">
              <w:rPr>
                <w:lang w:val="en-US"/>
              </w:rPr>
              <w:t>Käytettävissä oleva data</w:t>
            </w:r>
          </w:p>
        </w:tc>
        <w:tc>
          <w:tcPr>
            <w:tcW w:w="764" w:type="pct"/>
            <w:tcBorders>
              <w:bottom w:val="single" w:sz="4" w:space="0" w:color="auto"/>
            </w:tcBorders>
            <w:shd w:val="clear" w:color="auto" w:fill="EEECE1" w:themeFill="background2"/>
            <w:noWrap/>
            <w:hideMark/>
          </w:tcPr>
          <w:p w:rsidR="00801898" w:rsidRPr="002B7B3D" w:rsidRDefault="00801898" w:rsidP="0057091D">
            <w:pPr>
              <w:jc w:val="both"/>
              <w:rPr>
                <w:lang w:val="en-US"/>
              </w:rPr>
            </w:pPr>
            <w:r w:rsidRPr="002B7B3D">
              <w:rPr>
                <w:lang w:val="en-US"/>
              </w:rPr>
              <w:t>AF</w:t>
            </w:r>
          </w:p>
        </w:tc>
      </w:tr>
      <w:tr w:rsidR="00801898" w:rsidRPr="002B7B3D" w:rsidTr="0057091D">
        <w:trPr>
          <w:trHeight w:val="325"/>
        </w:trPr>
        <w:tc>
          <w:tcPr>
            <w:tcW w:w="4236" w:type="pct"/>
            <w:tcBorders>
              <w:top w:val="single" w:sz="4" w:space="0" w:color="auto"/>
            </w:tcBorders>
            <w:noWrap/>
            <w:hideMark/>
          </w:tcPr>
          <w:p w:rsidR="00801898" w:rsidRPr="002B7B3D" w:rsidRDefault="00801898" w:rsidP="0057091D">
            <w:pPr>
              <w:jc w:val="both"/>
            </w:pPr>
            <w:r w:rsidRPr="002B7B3D">
              <w:t>Vähintään yksi lyhytaikainen (L/E)C50 jokaiselta trofiatasolta (kalat, Daphnia, levät)</w:t>
            </w:r>
          </w:p>
        </w:tc>
        <w:tc>
          <w:tcPr>
            <w:tcW w:w="764" w:type="pct"/>
            <w:tcBorders>
              <w:top w:val="single" w:sz="4" w:space="0" w:color="auto"/>
            </w:tcBorders>
            <w:noWrap/>
            <w:hideMark/>
          </w:tcPr>
          <w:p w:rsidR="00801898" w:rsidRPr="002B7B3D" w:rsidRDefault="00801898" w:rsidP="0057091D">
            <w:pPr>
              <w:jc w:val="both"/>
              <w:rPr>
                <w:lang w:val="en-US"/>
              </w:rPr>
            </w:pPr>
            <w:r w:rsidRPr="002B7B3D">
              <w:rPr>
                <w:lang w:val="en-US"/>
              </w:rPr>
              <w:t>1000</w:t>
            </w:r>
          </w:p>
        </w:tc>
      </w:tr>
      <w:tr w:rsidR="00801898" w:rsidRPr="002B7B3D" w:rsidTr="0057091D">
        <w:trPr>
          <w:trHeight w:val="325"/>
        </w:trPr>
        <w:tc>
          <w:tcPr>
            <w:tcW w:w="4236" w:type="pct"/>
            <w:noWrap/>
            <w:hideMark/>
          </w:tcPr>
          <w:p w:rsidR="00801898" w:rsidRPr="002B7B3D" w:rsidRDefault="00801898" w:rsidP="0057091D">
            <w:pPr>
              <w:jc w:val="both"/>
            </w:pPr>
            <w:r w:rsidRPr="002B7B3D">
              <w:t>Yksi kroonisenajan NOEC arvo (kalat/Daphnia)</w:t>
            </w:r>
          </w:p>
        </w:tc>
        <w:tc>
          <w:tcPr>
            <w:tcW w:w="764" w:type="pct"/>
            <w:noWrap/>
            <w:hideMark/>
          </w:tcPr>
          <w:p w:rsidR="00801898" w:rsidRPr="002B7B3D" w:rsidRDefault="00801898" w:rsidP="0057091D">
            <w:pPr>
              <w:jc w:val="both"/>
              <w:rPr>
                <w:lang w:val="en-US"/>
              </w:rPr>
            </w:pPr>
            <w:r w:rsidRPr="002B7B3D">
              <w:rPr>
                <w:lang w:val="en-US"/>
              </w:rPr>
              <w:t>100</w:t>
            </w:r>
          </w:p>
        </w:tc>
      </w:tr>
      <w:tr w:rsidR="00801898" w:rsidRPr="002B7B3D" w:rsidTr="0057091D">
        <w:trPr>
          <w:trHeight w:val="325"/>
        </w:trPr>
        <w:tc>
          <w:tcPr>
            <w:tcW w:w="4236" w:type="pct"/>
            <w:noWrap/>
            <w:hideMark/>
          </w:tcPr>
          <w:p w:rsidR="00801898" w:rsidRPr="002B7B3D" w:rsidRDefault="00801898" w:rsidP="0057091D">
            <w:pPr>
              <w:jc w:val="both"/>
            </w:pPr>
            <w:r w:rsidRPr="002B7B3D">
              <w:t>Kaksi kroonisenajan NOEC arvoa kahdelta trofiatasolta (kalat ja/tai Daphnia ja/tai levät)</w:t>
            </w:r>
          </w:p>
        </w:tc>
        <w:tc>
          <w:tcPr>
            <w:tcW w:w="764" w:type="pct"/>
            <w:noWrap/>
            <w:hideMark/>
          </w:tcPr>
          <w:p w:rsidR="00801898" w:rsidRPr="002B7B3D" w:rsidRDefault="00801898" w:rsidP="0057091D">
            <w:pPr>
              <w:jc w:val="both"/>
              <w:rPr>
                <w:lang w:val="en-US"/>
              </w:rPr>
            </w:pPr>
            <w:r w:rsidRPr="002B7B3D">
              <w:rPr>
                <w:lang w:val="en-US"/>
              </w:rPr>
              <w:t>50</w:t>
            </w:r>
          </w:p>
        </w:tc>
      </w:tr>
      <w:tr w:rsidR="00801898" w:rsidRPr="002B7B3D" w:rsidTr="0057091D">
        <w:trPr>
          <w:trHeight w:val="325"/>
        </w:trPr>
        <w:tc>
          <w:tcPr>
            <w:tcW w:w="4236" w:type="pct"/>
            <w:noWrap/>
            <w:hideMark/>
          </w:tcPr>
          <w:p w:rsidR="00801898" w:rsidRPr="002B7B3D" w:rsidRDefault="00801898" w:rsidP="0057091D">
            <w:pPr>
              <w:jc w:val="both"/>
            </w:pPr>
            <w:r w:rsidRPr="002B7B3D">
              <w:t>Kroonisenajan NOEC arvoja vähintään kolmelta lajilta (kalat, Daphnia ja levät) edustaen kolmea trofiatasoa</w:t>
            </w:r>
          </w:p>
        </w:tc>
        <w:tc>
          <w:tcPr>
            <w:tcW w:w="764" w:type="pct"/>
            <w:noWrap/>
            <w:hideMark/>
          </w:tcPr>
          <w:p w:rsidR="00801898" w:rsidRPr="002B7B3D" w:rsidRDefault="00801898" w:rsidP="0057091D">
            <w:pPr>
              <w:jc w:val="both"/>
              <w:rPr>
                <w:lang w:val="en-US"/>
              </w:rPr>
            </w:pPr>
            <w:r w:rsidRPr="002B7B3D">
              <w:rPr>
                <w:lang w:val="en-US"/>
              </w:rPr>
              <w:t>10</w:t>
            </w:r>
          </w:p>
        </w:tc>
      </w:tr>
      <w:tr w:rsidR="00801898" w:rsidRPr="002B7B3D" w:rsidTr="0057091D">
        <w:trPr>
          <w:trHeight w:val="325"/>
        </w:trPr>
        <w:tc>
          <w:tcPr>
            <w:tcW w:w="4236" w:type="pct"/>
            <w:noWrap/>
            <w:hideMark/>
          </w:tcPr>
          <w:p w:rsidR="00801898" w:rsidRPr="002B7B3D" w:rsidRDefault="00801898" w:rsidP="0057091D">
            <w:pPr>
              <w:jc w:val="both"/>
              <w:rPr>
                <w:lang w:val="en-US"/>
              </w:rPr>
            </w:pPr>
            <w:r w:rsidRPr="002B7B3D">
              <w:rPr>
                <w:lang w:val="en-US"/>
              </w:rPr>
              <w:t>Lajien välinen herkkyysjakauma SSD</w:t>
            </w:r>
          </w:p>
        </w:tc>
        <w:tc>
          <w:tcPr>
            <w:tcW w:w="764" w:type="pct"/>
            <w:noWrap/>
            <w:hideMark/>
          </w:tcPr>
          <w:p w:rsidR="00801898" w:rsidRPr="002B7B3D" w:rsidRDefault="00801898" w:rsidP="0057091D">
            <w:pPr>
              <w:jc w:val="both"/>
              <w:rPr>
                <w:lang w:val="en-US"/>
              </w:rPr>
            </w:pPr>
            <w:r w:rsidRPr="002B7B3D">
              <w:rPr>
                <w:lang w:val="en-US"/>
              </w:rPr>
              <w:t>5 - 1</w:t>
            </w:r>
          </w:p>
        </w:tc>
      </w:tr>
      <w:tr w:rsidR="00801898" w:rsidRPr="002B7B3D" w:rsidTr="0057091D">
        <w:trPr>
          <w:trHeight w:val="340"/>
        </w:trPr>
        <w:tc>
          <w:tcPr>
            <w:tcW w:w="4236" w:type="pct"/>
            <w:tcBorders>
              <w:bottom w:val="single" w:sz="4" w:space="0" w:color="auto"/>
            </w:tcBorders>
            <w:noWrap/>
            <w:hideMark/>
          </w:tcPr>
          <w:p w:rsidR="00801898" w:rsidRPr="002B7B3D" w:rsidRDefault="00801898" w:rsidP="0057091D">
            <w:pPr>
              <w:jc w:val="both"/>
            </w:pPr>
            <w:r w:rsidRPr="002B7B3D">
              <w:t>Mitattu data tai malliekosysteemi</w:t>
            </w:r>
          </w:p>
        </w:tc>
        <w:tc>
          <w:tcPr>
            <w:tcW w:w="764" w:type="pct"/>
            <w:tcBorders>
              <w:bottom w:val="single" w:sz="4" w:space="0" w:color="auto"/>
            </w:tcBorders>
            <w:noWrap/>
            <w:hideMark/>
          </w:tcPr>
          <w:p w:rsidR="00801898" w:rsidRPr="002B7B3D" w:rsidRDefault="00801898" w:rsidP="0057091D">
            <w:pPr>
              <w:jc w:val="both"/>
              <w:rPr>
                <w:lang w:val="en-US"/>
              </w:rPr>
            </w:pPr>
            <w:r w:rsidRPr="002B7B3D">
              <w:rPr>
                <w:lang w:val="en-US"/>
              </w:rPr>
              <w:t>tapausko</w:t>
            </w:r>
            <w:r w:rsidRPr="002B7B3D">
              <w:rPr>
                <w:lang w:val="en-US"/>
              </w:rPr>
              <w:t>h</w:t>
            </w:r>
            <w:r w:rsidRPr="002B7B3D">
              <w:rPr>
                <w:lang w:val="en-US"/>
              </w:rPr>
              <w:t>tainen</w:t>
            </w:r>
          </w:p>
        </w:tc>
      </w:tr>
    </w:tbl>
    <w:p w:rsidR="00801898" w:rsidRPr="002B7B3D" w:rsidRDefault="00801898" w:rsidP="00801898">
      <w:pPr>
        <w:jc w:val="both"/>
      </w:pPr>
    </w:p>
    <w:tbl>
      <w:tblPr>
        <w:tblW w:w="5000" w:type="pct"/>
        <w:jc w:val="center"/>
        <w:tblLayout w:type="fixed"/>
        <w:tblLook w:val="04A0" w:firstRow="1" w:lastRow="0" w:firstColumn="1" w:lastColumn="0" w:noHBand="0" w:noVBand="1"/>
      </w:tblPr>
      <w:tblGrid>
        <w:gridCol w:w="1668"/>
        <w:gridCol w:w="4374"/>
        <w:gridCol w:w="1032"/>
        <w:gridCol w:w="2021"/>
        <w:gridCol w:w="481"/>
      </w:tblGrid>
      <w:tr w:rsidR="00801898" w:rsidRPr="002B7B3D" w:rsidTr="0057091D">
        <w:trPr>
          <w:trHeight w:val="300"/>
          <w:jc w:val="center"/>
        </w:trPr>
        <w:tc>
          <w:tcPr>
            <w:tcW w:w="4749" w:type="pct"/>
            <w:gridSpan w:val="4"/>
            <w:shd w:val="clear" w:color="auto" w:fill="EEECE1" w:themeFill="background2"/>
            <w:noWrap/>
            <w:hideMark/>
          </w:tcPr>
          <w:p w:rsidR="00801898" w:rsidRPr="002B7B3D" w:rsidRDefault="00801898" w:rsidP="0057091D">
            <w:pPr>
              <w:spacing w:after="0"/>
              <w:jc w:val="both"/>
            </w:pPr>
            <w:r w:rsidRPr="002B7B3D">
              <w:t>SYÖTTEET</w:t>
            </w:r>
          </w:p>
        </w:tc>
        <w:tc>
          <w:tcPr>
            <w:tcW w:w="251" w:type="pct"/>
            <w:shd w:val="clear" w:color="auto" w:fill="EEECE1" w:themeFill="background2"/>
            <w:noWrap/>
            <w:hideMark/>
          </w:tcPr>
          <w:p w:rsidR="00801898" w:rsidRPr="002B7B3D" w:rsidRDefault="00801898" w:rsidP="0057091D">
            <w:pPr>
              <w:spacing w:after="0"/>
              <w:jc w:val="both"/>
            </w:pPr>
          </w:p>
        </w:tc>
      </w:tr>
      <w:tr w:rsidR="00801898" w:rsidRPr="002B7B3D" w:rsidTr="0057091D">
        <w:trPr>
          <w:trHeight w:val="300"/>
          <w:jc w:val="center"/>
        </w:trPr>
        <w:tc>
          <w:tcPr>
            <w:tcW w:w="870" w:type="pct"/>
            <w:tcBorders>
              <w:bottom w:val="single" w:sz="4" w:space="0" w:color="auto"/>
            </w:tcBorders>
            <w:shd w:val="clear" w:color="auto" w:fill="EEECE1" w:themeFill="background2"/>
            <w:noWrap/>
            <w:hideMark/>
          </w:tcPr>
          <w:p w:rsidR="00801898" w:rsidRPr="002B7B3D" w:rsidRDefault="00801898" w:rsidP="0057091D">
            <w:pPr>
              <w:spacing w:after="0"/>
              <w:jc w:val="both"/>
            </w:pPr>
            <w:r w:rsidRPr="002B7B3D">
              <w:t>Parametri</w:t>
            </w:r>
          </w:p>
        </w:tc>
        <w:tc>
          <w:tcPr>
            <w:tcW w:w="2284" w:type="pct"/>
            <w:tcBorders>
              <w:bottom w:val="single" w:sz="4" w:space="0" w:color="auto"/>
            </w:tcBorders>
            <w:shd w:val="clear" w:color="auto" w:fill="EEECE1" w:themeFill="background2"/>
            <w:noWrap/>
            <w:hideMark/>
          </w:tcPr>
          <w:p w:rsidR="00801898" w:rsidRPr="002B7B3D" w:rsidRDefault="00801898" w:rsidP="0057091D">
            <w:pPr>
              <w:spacing w:after="0"/>
              <w:jc w:val="both"/>
            </w:pPr>
            <w:r w:rsidRPr="002B7B3D">
              <w:t>Kuvaus</w:t>
            </w:r>
          </w:p>
        </w:tc>
        <w:tc>
          <w:tcPr>
            <w:tcW w:w="539" w:type="pct"/>
            <w:tcBorders>
              <w:bottom w:val="single" w:sz="4" w:space="0" w:color="auto"/>
            </w:tcBorders>
            <w:shd w:val="clear" w:color="auto" w:fill="EEECE1" w:themeFill="background2"/>
            <w:noWrap/>
            <w:hideMark/>
          </w:tcPr>
          <w:p w:rsidR="00801898" w:rsidRPr="002B7B3D" w:rsidRDefault="00801898" w:rsidP="0057091D">
            <w:pPr>
              <w:spacing w:after="0"/>
              <w:jc w:val="both"/>
            </w:pPr>
            <w:r w:rsidRPr="002B7B3D">
              <w:t>Yksikkö</w:t>
            </w:r>
          </w:p>
        </w:tc>
        <w:tc>
          <w:tcPr>
            <w:tcW w:w="1306" w:type="pct"/>
            <w:gridSpan w:val="2"/>
            <w:tcBorders>
              <w:bottom w:val="single" w:sz="4" w:space="0" w:color="auto"/>
            </w:tcBorders>
            <w:shd w:val="clear" w:color="auto" w:fill="EEECE1" w:themeFill="background2"/>
            <w:noWrap/>
            <w:hideMark/>
          </w:tcPr>
          <w:p w:rsidR="00801898" w:rsidRPr="002B7B3D" w:rsidRDefault="00801898" w:rsidP="0057091D">
            <w:pPr>
              <w:spacing w:after="0"/>
              <w:jc w:val="both"/>
            </w:pPr>
            <w:r w:rsidRPr="002B7B3D">
              <w:t>Lähde</w:t>
            </w:r>
          </w:p>
        </w:tc>
      </w:tr>
      <w:tr w:rsidR="00801898" w:rsidRPr="002B7B3D" w:rsidTr="0057091D">
        <w:trPr>
          <w:trHeight w:val="300"/>
          <w:jc w:val="center"/>
        </w:trPr>
        <w:tc>
          <w:tcPr>
            <w:tcW w:w="870" w:type="pct"/>
            <w:tcBorders>
              <w:top w:val="single" w:sz="4" w:space="0" w:color="auto"/>
            </w:tcBorders>
            <w:shd w:val="clear" w:color="auto" w:fill="auto"/>
            <w:noWrap/>
            <w:hideMark/>
          </w:tcPr>
          <w:p w:rsidR="00801898" w:rsidRPr="002B7B3D" w:rsidRDefault="00801898" w:rsidP="0057091D">
            <w:pPr>
              <w:spacing w:after="0"/>
              <w:jc w:val="both"/>
              <w:rPr>
                <w:vertAlign w:val="subscript"/>
              </w:rPr>
            </w:pPr>
            <w:r w:rsidRPr="002B7B3D">
              <w:lastRenderedPageBreak/>
              <w:t>NOEC</w:t>
            </w:r>
            <w:r w:rsidRPr="002B7B3D">
              <w:rPr>
                <w:vertAlign w:val="subscript"/>
              </w:rPr>
              <w:t>alin</w:t>
            </w:r>
          </w:p>
        </w:tc>
        <w:tc>
          <w:tcPr>
            <w:tcW w:w="2284" w:type="pct"/>
            <w:tcBorders>
              <w:top w:val="single" w:sz="4" w:space="0" w:color="auto"/>
            </w:tcBorders>
            <w:shd w:val="clear" w:color="auto" w:fill="auto"/>
            <w:noWrap/>
            <w:hideMark/>
          </w:tcPr>
          <w:p w:rsidR="00801898" w:rsidRPr="002B7B3D" w:rsidRDefault="00801898" w:rsidP="0057091D">
            <w:pPr>
              <w:spacing w:after="0"/>
              <w:jc w:val="both"/>
            </w:pPr>
            <w:r w:rsidRPr="002B7B3D">
              <w:t>Pienin vaikutukseton pitoisuus tietyn tr</w:t>
            </w:r>
            <w:r w:rsidRPr="002B7B3D">
              <w:t>o</w:t>
            </w:r>
            <w:r w:rsidRPr="002B7B3D">
              <w:t>fiatason eliöillä pitkän aikavälin toksisuu</w:t>
            </w:r>
            <w:r w:rsidRPr="002B7B3D">
              <w:t>s</w:t>
            </w:r>
            <w:r w:rsidRPr="002B7B3D">
              <w:t>kokeista</w:t>
            </w:r>
          </w:p>
        </w:tc>
        <w:tc>
          <w:tcPr>
            <w:tcW w:w="539" w:type="pct"/>
            <w:tcBorders>
              <w:top w:val="single" w:sz="4" w:space="0" w:color="auto"/>
            </w:tcBorders>
            <w:shd w:val="clear" w:color="auto" w:fill="auto"/>
            <w:noWrap/>
            <w:hideMark/>
          </w:tcPr>
          <w:p w:rsidR="00801898" w:rsidRPr="002B7B3D" w:rsidRDefault="00801898" w:rsidP="0057091D">
            <w:pPr>
              <w:spacing w:after="0"/>
              <w:jc w:val="both"/>
            </w:pPr>
            <w:r w:rsidRPr="002B7B3D">
              <w:t>µg/L tai mg/kg</w:t>
            </w:r>
          </w:p>
        </w:tc>
        <w:tc>
          <w:tcPr>
            <w:tcW w:w="1306" w:type="pct"/>
            <w:gridSpan w:val="2"/>
            <w:tcBorders>
              <w:top w:val="single" w:sz="4" w:space="0" w:color="auto"/>
            </w:tcBorders>
            <w:shd w:val="clear" w:color="auto" w:fill="auto"/>
            <w:noWrap/>
            <w:hideMark/>
          </w:tcPr>
          <w:p w:rsidR="00801898" w:rsidRPr="002B7B3D" w:rsidRDefault="00801898" w:rsidP="0057091D">
            <w:pPr>
              <w:spacing w:after="0"/>
              <w:jc w:val="both"/>
            </w:pPr>
            <w:r w:rsidRPr="002B7B3D">
              <w:t>eri tietokannat/ kirjall</w:t>
            </w:r>
            <w:r w:rsidRPr="002B7B3D">
              <w:t>i</w:t>
            </w:r>
            <w:r w:rsidRPr="002B7B3D">
              <w:t>suus</w:t>
            </w:r>
          </w:p>
        </w:tc>
      </w:tr>
      <w:tr w:rsidR="00801898" w:rsidRPr="002B7B3D" w:rsidTr="0057091D">
        <w:trPr>
          <w:trHeight w:val="300"/>
          <w:jc w:val="center"/>
        </w:trPr>
        <w:tc>
          <w:tcPr>
            <w:tcW w:w="870" w:type="pct"/>
            <w:shd w:val="clear" w:color="auto" w:fill="auto"/>
            <w:noWrap/>
            <w:hideMark/>
          </w:tcPr>
          <w:p w:rsidR="00801898" w:rsidRPr="002B7B3D" w:rsidRDefault="00801898" w:rsidP="0057091D">
            <w:pPr>
              <w:spacing w:after="0"/>
              <w:jc w:val="both"/>
            </w:pPr>
            <w:r w:rsidRPr="002B7B3D">
              <w:t>AF</w:t>
            </w:r>
          </w:p>
        </w:tc>
        <w:tc>
          <w:tcPr>
            <w:tcW w:w="2284" w:type="pct"/>
            <w:shd w:val="clear" w:color="auto" w:fill="auto"/>
            <w:noWrap/>
            <w:hideMark/>
          </w:tcPr>
          <w:p w:rsidR="00801898" w:rsidRPr="002B7B3D" w:rsidRDefault="00801898" w:rsidP="00801898">
            <w:pPr>
              <w:spacing w:after="0"/>
              <w:jc w:val="both"/>
            </w:pPr>
            <w:r w:rsidRPr="002B7B3D">
              <w:t>Arviointikerroin riippuen toksisu</w:t>
            </w:r>
            <w:r>
              <w:t>us</w:t>
            </w:r>
            <w:r w:rsidRPr="002B7B3D">
              <w:t>tiedon määrästä ja laadusta</w:t>
            </w:r>
          </w:p>
        </w:tc>
        <w:tc>
          <w:tcPr>
            <w:tcW w:w="539" w:type="pct"/>
            <w:shd w:val="clear" w:color="auto" w:fill="auto"/>
            <w:noWrap/>
            <w:hideMark/>
          </w:tcPr>
          <w:p w:rsidR="00801898" w:rsidRPr="002B7B3D" w:rsidRDefault="00801898" w:rsidP="0057091D">
            <w:pPr>
              <w:spacing w:after="0"/>
              <w:jc w:val="both"/>
            </w:pPr>
            <w:r w:rsidRPr="002B7B3D">
              <w:t>-</w:t>
            </w:r>
          </w:p>
        </w:tc>
        <w:tc>
          <w:tcPr>
            <w:tcW w:w="1306" w:type="pct"/>
            <w:gridSpan w:val="2"/>
            <w:shd w:val="clear" w:color="auto" w:fill="auto"/>
            <w:noWrap/>
            <w:hideMark/>
          </w:tcPr>
          <w:p w:rsidR="00801898" w:rsidRPr="002B7B3D" w:rsidRDefault="00801898" w:rsidP="0057091D">
            <w:pPr>
              <w:spacing w:after="0"/>
              <w:jc w:val="both"/>
            </w:pPr>
            <w:r w:rsidRPr="002B7B3D">
              <w:t>ECHA/TG</w:t>
            </w:r>
            <w:r>
              <w:t>D</w:t>
            </w:r>
          </w:p>
        </w:tc>
      </w:tr>
      <w:tr w:rsidR="00801898" w:rsidRPr="002B7B3D" w:rsidTr="0057091D">
        <w:trPr>
          <w:trHeight w:val="300"/>
          <w:jc w:val="center"/>
        </w:trPr>
        <w:tc>
          <w:tcPr>
            <w:tcW w:w="4749" w:type="pct"/>
            <w:gridSpan w:val="4"/>
            <w:shd w:val="clear" w:color="auto" w:fill="EEECE1" w:themeFill="background2"/>
            <w:noWrap/>
            <w:hideMark/>
          </w:tcPr>
          <w:p w:rsidR="00801898" w:rsidRPr="002B7B3D" w:rsidRDefault="00801898" w:rsidP="0057091D">
            <w:pPr>
              <w:spacing w:after="0"/>
              <w:jc w:val="both"/>
            </w:pPr>
            <w:r w:rsidRPr="002B7B3D">
              <w:t>TULOS</w:t>
            </w:r>
          </w:p>
        </w:tc>
        <w:tc>
          <w:tcPr>
            <w:tcW w:w="251" w:type="pct"/>
            <w:shd w:val="clear" w:color="auto" w:fill="EEECE1" w:themeFill="background2"/>
            <w:noWrap/>
            <w:hideMark/>
          </w:tcPr>
          <w:p w:rsidR="00801898" w:rsidRPr="002B7B3D" w:rsidRDefault="00801898" w:rsidP="0057091D">
            <w:pPr>
              <w:spacing w:after="0"/>
              <w:jc w:val="both"/>
            </w:pPr>
          </w:p>
        </w:tc>
      </w:tr>
      <w:tr w:rsidR="00801898" w:rsidRPr="002B7B3D" w:rsidTr="0057091D">
        <w:trPr>
          <w:trHeight w:val="300"/>
          <w:jc w:val="center"/>
        </w:trPr>
        <w:tc>
          <w:tcPr>
            <w:tcW w:w="871" w:type="pct"/>
            <w:shd w:val="clear" w:color="auto" w:fill="EEECE1" w:themeFill="background2"/>
            <w:noWrap/>
            <w:hideMark/>
          </w:tcPr>
          <w:p w:rsidR="00801898" w:rsidRPr="002B7B3D" w:rsidRDefault="00801898" w:rsidP="0057091D">
            <w:pPr>
              <w:spacing w:after="0"/>
              <w:jc w:val="both"/>
            </w:pPr>
            <w:r w:rsidRPr="002B7B3D">
              <w:t>Parametri</w:t>
            </w:r>
          </w:p>
        </w:tc>
        <w:tc>
          <w:tcPr>
            <w:tcW w:w="2284" w:type="pct"/>
            <w:shd w:val="clear" w:color="auto" w:fill="EEECE1" w:themeFill="background2"/>
            <w:noWrap/>
            <w:hideMark/>
          </w:tcPr>
          <w:p w:rsidR="00801898" w:rsidRPr="002B7B3D" w:rsidRDefault="00801898" w:rsidP="0057091D">
            <w:pPr>
              <w:spacing w:after="0"/>
              <w:jc w:val="both"/>
            </w:pPr>
            <w:r w:rsidRPr="002B7B3D">
              <w:t>Kuvaus</w:t>
            </w:r>
          </w:p>
        </w:tc>
        <w:tc>
          <w:tcPr>
            <w:tcW w:w="539" w:type="pct"/>
            <w:shd w:val="clear" w:color="auto" w:fill="EEECE1" w:themeFill="background2"/>
            <w:noWrap/>
            <w:hideMark/>
          </w:tcPr>
          <w:p w:rsidR="00801898" w:rsidRPr="002B7B3D" w:rsidRDefault="00801898" w:rsidP="0057091D">
            <w:pPr>
              <w:spacing w:after="0"/>
              <w:jc w:val="both"/>
            </w:pPr>
            <w:r w:rsidRPr="002B7B3D">
              <w:t>Yksikkö</w:t>
            </w:r>
          </w:p>
        </w:tc>
        <w:tc>
          <w:tcPr>
            <w:tcW w:w="1306" w:type="pct"/>
            <w:gridSpan w:val="2"/>
            <w:shd w:val="clear" w:color="auto" w:fill="EEECE1" w:themeFill="background2"/>
            <w:noWrap/>
            <w:hideMark/>
          </w:tcPr>
          <w:p w:rsidR="00801898" w:rsidRPr="002B7B3D" w:rsidRDefault="00801898" w:rsidP="0057091D">
            <w:pPr>
              <w:spacing w:after="0"/>
              <w:jc w:val="both"/>
            </w:pPr>
            <w:r w:rsidRPr="002B7B3D">
              <w:t>Käyttötarkoitus</w:t>
            </w:r>
          </w:p>
        </w:tc>
      </w:tr>
      <w:tr w:rsidR="00801898" w:rsidRPr="002B7B3D" w:rsidTr="0057091D">
        <w:trPr>
          <w:trHeight w:val="300"/>
          <w:jc w:val="center"/>
        </w:trPr>
        <w:tc>
          <w:tcPr>
            <w:tcW w:w="871" w:type="pct"/>
            <w:tcBorders>
              <w:bottom w:val="single" w:sz="4" w:space="0" w:color="auto"/>
            </w:tcBorders>
            <w:shd w:val="clear" w:color="auto" w:fill="auto"/>
            <w:noWrap/>
            <w:hideMark/>
          </w:tcPr>
          <w:p w:rsidR="00801898" w:rsidRPr="002B7B3D" w:rsidRDefault="00801898" w:rsidP="00801898">
            <w:pPr>
              <w:spacing w:after="0"/>
              <w:jc w:val="both"/>
              <w:rPr>
                <w:vertAlign w:val="subscript"/>
              </w:rPr>
            </w:pPr>
            <w:r w:rsidRPr="002B7B3D">
              <w:t>PNEC</w:t>
            </w:r>
            <w:r>
              <w:rPr>
                <w:vertAlign w:val="subscript"/>
              </w:rPr>
              <w:t>sedimentti</w:t>
            </w:r>
          </w:p>
        </w:tc>
        <w:tc>
          <w:tcPr>
            <w:tcW w:w="2284" w:type="pct"/>
            <w:tcBorders>
              <w:bottom w:val="single" w:sz="4" w:space="0" w:color="auto"/>
            </w:tcBorders>
            <w:shd w:val="clear" w:color="auto" w:fill="auto"/>
            <w:noWrap/>
            <w:hideMark/>
          </w:tcPr>
          <w:p w:rsidR="00801898" w:rsidRPr="002B7B3D" w:rsidRDefault="00801898" w:rsidP="0057091D">
            <w:pPr>
              <w:spacing w:after="0"/>
              <w:jc w:val="both"/>
            </w:pPr>
            <w:r w:rsidRPr="002B7B3D">
              <w:t>Johdettu vaikutukseton pitoisuus kyseisen trofiatason eliöstä</w:t>
            </w:r>
          </w:p>
        </w:tc>
        <w:tc>
          <w:tcPr>
            <w:tcW w:w="539" w:type="pct"/>
            <w:tcBorders>
              <w:bottom w:val="single" w:sz="4" w:space="0" w:color="auto"/>
            </w:tcBorders>
            <w:shd w:val="clear" w:color="auto" w:fill="auto"/>
            <w:noWrap/>
            <w:hideMark/>
          </w:tcPr>
          <w:p w:rsidR="00801898" w:rsidRPr="002B7B3D" w:rsidRDefault="00801898" w:rsidP="0057091D">
            <w:pPr>
              <w:spacing w:after="0"/>
              <w:jc w:val="both"/>
            </w:pPr>
            <w:r w:rsidRPr="002B7B3D">
              <w:t>µg/L tai mg/kg</w:t>
            </w:r>
          </w:p>
        </w:tc>
        <w:tc>
          <w:tcPr>
            <w:tcW w:w="1306" w:type="pct"/>
            <w:gridSpan w:val="2"/>
            <w:tcBorders>
              <w:bottom w:val="single" w:sz="4" w:space="0" w:color="auto"/>
            </w:tcBorders>
            <w:shd w:val="clear" w:color="auto" w:fill="auto"/>
            <w:noWrap/>
            <w:hideMark/>
          </w:tcPr>
          <w:p w:rsidR="00801898" w:rsidRPr="002B7B3D" w:rsidRDefault="00801898" w:rsidP="0057091D">
            <w:pPr>
              <w:spacing w:after="0"/>
              <w:jc w:val="both"/>
            </w:pPr>
            <w:r w:rsidRPr="002B7B3D">
              <w:t>Riskinarviointi/RCR lukujen johtaminen</w:t>
            </w:r>
          </w:p>
        </w:tc>
      </w:tr>
    </w:tbl>
    <w:p w:rsidR="00801898" w:rsidRPr="002B7B3D" w:rsidRDefault="00801898" w:rsidP="00801898">
      <w:pPr>
        <w:spacing w:after="0"/>
        <w:jc w:val="both"/>
      </w:pPr>
    </w:p>
    <w:p w:rsidR="00801898" w:rsidRDefault="00801898" w:rsidP="00801898">
      <w:pPr>
        <w:jc w:val="both"/>
      </w:pPr>
    </w:p>
    <w:p w:rsidR="00801898" w:rsidRPr="001F26CA" w:rsidRDefault="00801898" w:rsidP="00801898">
      <w:pPr>
        <w:jc w:val="both"/>
      </w:pPr>
      <w:r w:rsidRPr="001F26CA">
        <w:t>PNEC arvo voidaan laskea käyttäen lajien välistä herkkyysjakaumaa (SSD-jakauma), jolloin PNEC lasketaan perustuen Aldenberg &amp; Slob (1993) yhtälöön:</w:t>
      </w:r>
    </w:p>
    <w:p w:rsidR="00801898" w:rsidRPr="008E2F73" w:rsidRDefault="00801898" w:rsidP="00801898">
      <w:pPr>
        <w:shd w:val="clear" w:color="auto" w:fill="EEECE1" w:themeFill="background2"/>
        <w:jc w:val="center"/>
      </w:pPr>
      <w:r w:rsidRPr="008E2F73">
        <w:t>PNEC= (5%SSD * 50%c.i.)  ⁄  AF</w:t>
      </w:r>
    </w:p>
    <w:p w:rsidR="00801898" w:rsidRPr="002B7B3D" w:rsidRDefault="00801898" w:rsidP="00801898">
      <w:pPr>
        <w:jc w:val="both"/>
      </w:pPr>
    </w:p>
    <w:tbl>
      <w:tblPr>
        <w:tblW w:w="9214" w:type="dxa"/>
        <w:tblInd w:w="108" w:type="dxa"/>
        <w:tblLayout w:type="fixed"/>
        <w:tblLook w:val="04A0" w:firstRow="1" w:lastRow="0" w:firstColumn="1" w:lastColumn="0" w:noHBand="0" w:noVBand="1"/>
      </w:tblPr>
      <w:tblGrid>
        <w:gridCol w:w="1276"/>
        <w:gridCol w:w="142"/>
        <w:gridCol w:w="4731"/>
        <w:gridCol w:w="939"/>
        <w:gridCol w:w="2126"/>
      </w:tblGrid>
      <w:tr w:rsidR="00801898" w:rsidRPr="002B7B3D" w:rsidTr="0057091D">
        <w:trPr>
          <w:trHeight w:val="300"/>
        </w:trPr>
        <w:tc>
          <w:tcPr>
            <w:tcW w:w="9214" w:type="dxa"/>
            <w:gridSpan w:val="5"/>
            <w:tcBorders>
              <w:top w:val="nil"/>
              <w:left w:val="nil"/>
              <w:right w:val="nil"/>
            </w:tcBorders>
            <w:shd w:val="clear" w:color="auto" w:fill="EEECE1" w:themeFill="background2"/>
            <w:noWrap/>
            <w:hideMark/>
          </w:tcPr>
          <w:p w:rsidR="00801898" w:rsidRPr="002B7B3D" w:rsidRDefault="00801898" w:rsidP="0057091D">
            <w:pPr>
              <w:spacing w:after="0"/>
              <w:jc w:val="both"/>
            </w:pPr>
            <w:r w:rsidRPr="002B7B3D">
              <w:t>SYÖTTEET</w:t>
            </w:r>
          </w:p>
        </w:tc>
      </w:tr>
      <w:tr w:rsidR="00801898" w:rsidRPr="002B7B3D" w:rsidTr="0057091D">
        <w:trPr>
          <w:trHeight w:val="300"/>
        </w:trPr>
        <w:tc>
          <w:tcPr>
            <w:tcW w:w="1276" w:type="dxa"/>
            <w:tcBorders>
              <w:top w:val="nil"/>
              <w:left w:val="nil"/>
              <w:bottom w:val="single" w:sz="4" w:space="0" w:color="auto"/>
              <w:right w:val="nil"/>
            </w:tcBorders>
            <w:shd w:val="clear" w:color="auto" w:fill="EEECE1" w:themeFill="background2"/>
            <w:noWrap/>
            <w:hideMark/>
          </w:tcPr>
          <w:p w:rsidR="00801898" w:rsidRPr="002B7B3D" w:rsidRDefault="00801898" w:rsidP="0057091D">
            <w:pPr>
              <w:spacing w:after="0"/>
              <w:jc w:val="both"/>
            </w:pPr>
            <w:r w:rsidRPr="002B7B3D">
              <w:t>Parametri</w:t>
            </w:r>
          </w:p>
        </w:tc>
        <w:tc>
          <w:tcPr>
            <w:tcW w:w="4873" w:type="dxa"/>
            <w:gridSpan w:val="2"/>
            <w:tcBorders>
              <w:top w:val="nil"/>
              <w:left w:val="nil"/>
              <w:bottom w:val="single" w:sz="4" w:space="0" w:color="auto"/>
              <w:right w:val="nil"/>
            </w:tcBorders>
            <w:shd w:val="clear" w:color="auto" w:fill="EEECE1" w:themeFill="background2"/>
            <w:noWrap/>
            <w:hideMark/>
          </w:tcPr>
          <w:p w:rsidR="00801898" w:rsidRPr="002B7B3D" w:rsidRDefault="00801898" w:rsidP="0057091D">
            <w:pPr>
              <w:spacing w:after="0"/>
              <w:jc w:val="both"/>
            </w:pPr>
            <w:r w:rsidRPr="002B7B3D">
              <w:t>Kuvaus</w:t>
            </w:r>
          </w:p>
        </w:tc>
        <w:tc>
          <w:tcPr>
            <w:tcW w:w="939" w:type="dxa"/>
            <w:tcBorders>
              <w:top w:val="nil"/>
              <w:left w:val="nil"/>
              <w:bottom w:val="single" w:sz="4" w:space="0" w:color="auto"/>
              <w:right w:val="nil"/>
            </w:tcBorders>
            <w:shd w:val="clear" w:color="auto" w:fill="EEECE1" w:themeFill="background2"/>
            <w:noWrap/>
            <w:hideMark/>
          </w:tcPr>
          <w:p w:rsidR="00801898" w:rsidRPr="002B7B3D" w:rsidRDefault="00801898" w:rsidP="0057091D">
            <w:pPr>
              <w:spacing w:after="0"/>
              <w:jc w:val="both"/>
            </w:pPr>
            <w:r w:rsidRPr="002B7B3D">
              <w:t>Yksikkö</w:t>
            </w:r>
          </w:p>
        </w:tc>
        <w:tc>
          <w:tcPr>
            <w:tcW w:w="2126" w:type="dxa"/>
            <w:tcBorders>
              <w:top w:val="nil"/>
              <w:left w:val="nil"/>
              <w:bottom w:val="single" w:sz="4" w:space="0" w:color="auto"/>
              <w:right w:val="nil"/>
            </w:tcBorders>
            <w:shd w:val="clear" w:color="auto" w:fill="EEECE1" w:themeFill="background2"/>
            <w:noWrap/>
            <w:hideMark/>
          </w:tcPr>
          <w:p w:rsidR="00801898" w:rsidRPr="002B7B3D" w:rsidRDefault="00801898" w:rsidP="0057091D">
            <w:pPr>
              <w:spacing w:after="0"/>
              <w:jc w:val="both"/>
            </w:pPr>
            <w:r w:rsidRPr="002B7B3D">
              <w:t>Lähde</w:t>
            </w:r>
          </w:p>
        </w:tc>
      </w:tr>
      <w:tr w:rsidR="00801898" w:rsidRPr="002B7B3D" w:rsidTr="0057091D">
        <w:trPr>
          <w:trHeight w:val="300"/>
        </w:trPr>
        <w:tc>
          <w:tcPr>
            <w:tcW w:w="1276"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NOEC</w:t>
            </w:r>
          </w:p>
        </w:tc>
        <w:tc>
          <w:tcPr>
            <w:tcW w:w="4873" w:type="dxa"/>
            <w:gridSpan w:val="2"/>
            <w:tcBorders>
              <w:top w:val="nil"/>
              <w:left w:val="nil"/>
              <w:bottom w:val="nil"/>
              <w:right w:val="nil"/>
            </w:tcBorders>
            <w:shd w:val="clear" w:color="auto" w:fill="auto"/>
            <w:noWrap/>
            <w:hideMark/>
          </w:tcPr>
          <w:p w:rsidR="00801898" w:rsidRPr="002B7B3D" w:rsidRDefault="00801898" w:rsidP="0057091D">
            <w:pPr>
              <w:spacing w:after="0"/>
              <w:jc w:val="both"/>
            </w:pPr>
            <w:r w:rsidRPr="002B7B3D">
              <w:t>Vaikutuksettomat pitoisuudet kaikista kerätyi</w:t>
            </w:r>
            <w:r w:rsidRPr="002B7B3D">
              <w:t>s</w:t>
            </w:r>
            <w:r w:rsidRPr="002B7B3D">
              <w:t>tä pitkän aikavälin toksisuuskokeista eri tr</w:t>
            </w:r>
            <w:r w:rsidRPr="002B7B3D">
              <w:t>o</w:t>
            </w:r>
            <w:r w:rsidRPr="002B7B3D">
              <w:t xml:space="preserve">fiatasoilta </w:t>
            </w:r>
          </w:p>
        </w:tc>
        <w:tc>
          <w:tcPr>
            <w:tcW w:w="939"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µg/L tai mg/kg</w:t>
            </w:r>
          </w:p>
        </w:tc>
        <w:tc>
          <w:tcPr>
            <w:tcW w:w="2126" w:type="dxa"/>
            <w:tcBorders>
              <w:top w:val="nil"/>
              <w:left w:val="nil"/>
              <w:bottom w:val="nil"/>
              <w:right w:val="nil"/>
            </w:tcBorders>
            <w:shd w:val="clear" w:color="auto" w:fill="auto"/>
            <w:noWrap/>
            <w:hideMark/>
          </w:tcPr>
          <w:p w:rsidR="00801898" w:rsidRPr="002B7B3D" w:rsidRDefault="00801898" w:rsidP="0057091D">
            <w:pPr>
              <w:spacing w:after="0"/>
            </w:pPr>
            <w:r w:rsidRPr="002B7B3D">
              <w:t>tietokannat</w:t>
            </w:r>
            <w:r>
              <w:t xml:space="preserve"> ja </w:t>
            </w:r>
            <w:r w:rsidRPr="002B7B3D">
              <w:t>ki</w:t>
            </w:r>
            <w:r w:rsidRPr="002B7B3D">
              <w:t>r</w:t>
            </w:r>
            <w:r w:rsidRPr="002B7B3D">
              <w:t>jallisuus</w:t>
            </w:r>
          </w:p>
        </w:tc>
      </w:tr>
      <w:tr w:rsidR="00801898" w:rsidRPr="002B7B3D" w:rsidTr="0057091D">
        <w:trPr>
          <w:trHeight w:val="300"/>
        </w:trPr>
        <w:tc>
          <w:tcPr>
            <w:tcW w:w="1276"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AF</w:t>
            </w:r>
          </w:p>
        </w:tc>
        <w:tc>
          <w:tcPr>
            <w:tcW w:w="4873" w:type="dxa"/>
            <w:gridSpan w:val="2"/>
            <w:tcBorders>
              <w:top w:val="nil"/>
              <w:left w:val="nil"/>
              <w:bottom w:val="nil"/>
              <w:right w:val="nil"/>
            </w:tcBorders>
            <w:shd w:val="clear" w:color="auto" w:fill="auto"/>
            <w:noWrap/>
            <w:hideMark/>
          </w:tcPr>
          <w:p w:rsidR="00801898" w:rsidRPr="002B7B3D" w:rsidRDefault="00801898" w:rsidP="0057091D">
            <w:pPr>
              <w:spacing w:after="0"/>
              <w:jc w:val="both"/>
            </w:pPr>
            <w:r w:rsidRPr="002B7B3D">
              <w:t>Arviointikerroin (1-5)</w:t>
            </w:r>
          </w:p>
        </w:tc>
        <w:tc>
          <w:tcPr>
            <w:tcW w:w="939"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w:t>
            </w:r>
          </w:p>
        </w:tc>
        <w:tc>
          <w:tcPr>
            <w:tcW w:w="2126"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ECHA/TG</w:t>
            </w:r>
            <w:r>
              <w:t>D</w:t>
            </w:r>
          </w:p>
        </w:tc>
      </w:tr>
      <w:tr w:rsidR="00801898" w:rsidRPr="002B7B3D" w:rsidTr="0057091D">
        <w:trPr>
          <w:trHeight w:val="300"/>
        </w:trPr>
        <w:tc>
          <w:tcPr>
            <w:tcW w:w="1276"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5 % SSD</w:t>
            </w:r>
          </w:p>
        </w:tc>
        <w:tc>
          <w:tcPr>
            <w:tcW w:w="4873" w:type="dxa"/>
            <w:gridSpan w:val="2"/>
            <w:tcBorders>
              <w:top w:val="nil"/>
              <w:left w:val="nil"/>
              <w:bottom w:val="nil"/>
              <w:right w:val="nil"/>
            </w:tcBorders>
            <w:shd w:val="clear" w:color="auto" w:fill="auto"/>
            <w:noWrap/>
            <w:hideMark/>
          </w:tcPr>
          <w:p w:rsidR="00801898" w:rsidRPr="002B7B3D" w:rsidRDefault="00801898" w:rsidP="0057091D">
            <w:pPr>
              <w:spacing w:after="0"/>
              <w:jc w:val="both"/>
            </w:pPr>
            <w:r w:rsidRPr="002B7B3D">
              <w:t>pitoisuus jossa 5 % lajeista ilmenee</w:t>
            </w:r>
          </w:p>
        </w:tc>
        <w:tc>
          <w:tcPr>
            <w:tcW w:w="939"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µg/L</w:t>
            </w:r>
            <w:r>
              <w:t xml:space="preserve"> </w:t>
            </w:r>
            <w:r w:rsidRPr="002B7B3D">
              <w:t>tai mg/kg</w:t>
            </w:r>
          </w:p>
        </w:tc>
        <w:tc>
          <w:tcPr>
            <w:tcW w:w="2126"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SSD Generator, EPA</w:t>
            </w:r>
          </w:p>
        </w:tc>
      </w:tr>
      <w:tr w:rsidR="00801898" w:rsidRPr="002B7B3D" w:rsidTr="0057091D">
        <w:trPr>
          <w:trHeight w:val="300"/>
        </w:trPr>
        <w:tc>
          <w:tcPr>
            <w:tcW w:w="1276"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50% c.i.</w:t>
            </w:r>
          </w:p>
        </w:tc>
        <w:tc>
          <w:tcPr>
            <w:tcW w:w="5812" w:type="dxa"/>
            <w:gridSpan w:val="3"/>
            <w:tcBorders>
              <w:top w:val="nil"/>
              <w:left w:val="nil"/>
              <w:bottom w:val="nil"/>
              <w:right w:val="nil"/>
            </w:tcBorders>
            <w:shd w:val="clear" w:color="auto" w:fill="auto"/>
            <w:noWrap/>
            <w:hideMark/>
          </w:tcPr>
          <w:p w:rsidR="00801898" w:rsidRPr="002B7B3D" w:rsidRDefault="00801898" w:rsidP="0057091D">
            <w:pPr>
              <w:spacing w:after="0"/>
              <w:jc w:val="both"/>
            </w:pPr>
            <w:r w:rsidRPr="002B7B3D">
              <w:t>50 % luottamusväli siitä pitoisuusjoukosta</w:t>
            </w:r>
            <w:r>
              <w:t>,</w:t>
            </w:r>
            <w:r w:rsidRPr="002B7B3D">
              <w:t xml:space="preserve"> joka sisältyy 5 %:iin</w:t>
            </w:r>
          </w:p>
        </w:tc>
        <w:tc>
          <w:tcPr>
            <w:tcW w:w="2126" w:type="dxa"/>
            <w:tcBorders>
              <w:top w:val="nil"/>
              <w:left w:val="nil"/>
              <w:bottom w:val="nil"/>
              <w:right w:val="nil"/>
            </w:tcBorders>
            <w:shd w:val="clear" w:color="auto" w:fill="auto"/>
            <w:noWrap/>
            <w:hideMark/>
          </w:tcPr>
          <w:p w:rsidR="00801898" w:rsidRPr="002B7B3D" w:rsidRDefault="00801898" w:rsidP="0057091D">
            <w:pPr>
              <w:spacing w:after="0"/>
              <w:jc w:val="both"/>
            </w:pPr>
            <w:r w:rsidRPr="002B7B3D">
              <w:t>Generator, EPA</w:t>
            </w:r>
          </w:p>
        </w:tc>
      </w:tr>
      <w:tr w:rsidR="00801898" w:rsidRPr="002B7B3D" w:rsidTr="0057091D">
        <w:trPr>
          <w:trHeight w:val="300"/>
        </w:trPr>
        <w:tc>
          <w:tcPr>
            <w:tcW w:w="9214" w:type="dxa"/>
            <w:gridSpan w:val="5"/>
            <w:tcBorders>
              <w:top w:val="nil"/>
              <w:left w:val="nil"/>
              <w:right w:val="nil"/>
            </w:tcBorders>
            <w:shd w:val="clear" w:color="auto" w:fill="EEECE1" w:themeFill="background2"/>
            <w:noWrap/>
            <w:hideMark/>
          </w:tcPr>
          <w:p w:rsidR="00801898" w:rsidRPr="002B7B3D" w:rsidRDefault="00801898" w:rsidP="0057091D">
            <w:pPr>
              <w:spacing w:after="0"/>
              <w:jc w:val="both"/>
            </w:pPr>
          </w:p>
          <w:p w:rsidR="00801898" w:rsidRPr="002B7B3D" w:rsidRDefault="00801898" w:rsidP="0057091D">
            <w:pPr>
              <w:spacing w:after="0"/>
              <w:jc w:val="both"/>
            </w:pPr>
            <w:r w:rsidRPr="002B7B3D">
              <w:t>TULOS</w:t>
            </w:r>
          </w:p>
        </w:tc>
      </w:tr>
      <w:tr w:rsidR="00801898" w:rsidRPr="002B7B3D" w:rsidTr="0057091D">
        <w:trPr>
          <w:trHeight w:val="300"/>
        </w:trPr>
        <w:tc>
          <w:tcPr>
            <w:tcW w:w="1418" w:type="dxa"/>
            <w:gridSpan w:val="2"/>
            <w:tcBorders>
              <w:top w:val="nil"/>
              <w:left w:val="nil"/>
              <w:bottom w:val="single" w:sz="4" w:space="0" w:color="auto"/>
              <w:right w:val="nil"/>
            </w:tcBorders>
            <w:shd w:val="clear" w:color="auto" w:fill="EEECE1" w:themeFill="background2"/>
            <w:noWrap/>
            <w:hideMark/>
          </w:tcPr>
          <w:p w:rsidR="00801898" w:rsidRPr="002B7B3D" w:rsidRDefault="00801898" w:rsidP="0057091D">
            <w:pPr>
              <w:spacing w:after="0"/>
              <w:jc w:val="both"/>
            </w:pPr>
            <w:r w:rsidRPr="002B7B3D">
              <w:t>Parametri</w:t>
            </w:r>
          </w:p>
        </w:tc>
        <w:tc>
          <w:tcPr>
            <w:tcW w:w="4731" w:type="dxa"/>
            <w:tcBorders>
              <w:top w:val="nil"/>
              <w:left w:val="nil"/>
              <w:bottom w:val="single" w:sz="4" w:space="0" w:color="auto"/>
              <w:right w:val="nil"/>
            </w:tcBorders>
            <w:shd w:val="clear" w:color="auto" w:fill="EEECE1" w:themeFill="background2"/>
            <w:noWrap/>
            <w:hideMark/>
          </w:tcPr>
          <w:p w:rsidR="00801898" w:rsidRPr="002B7B3D" w:rsidRDefault="00801898" w:rsidP="0057091D">
            <w:pPr>
              <w:spacing w:after="0"/>
              <w:jc w:val="both"/>
            </w:pPr>
            <w:r w:rsidRPr="002B7B3D">
              <w:t>Kuvaus</w:t>
            </w:r>
          </w:p>
        </w:tc>
        <w:tc>
          <w:tcPr>
            <w:tcW w:w="939" w:type="dxa"/>
            <w:tcBorders>
              <w:top w:val="nil"/>
              <w:left w:val="nil"/>
              <w:bottom w:val="single" w:sz="4" w:space="0" w:color="auto"/>
              <w:right w:val="nil"/>
            </w:tcBorders>
            <w:shd w:val="clear" w:color="auto" w:fill="EEECE1" w:themeFill="background2"/>
            <w:noWrap/>
            <w:hideMark/>
          </w:tcPr>
          <w:p w:rsidR="00801898" w:rsidRPr="002B7B3D" w:rsidRDefault="00801898" w:rsidP="0057091D">
            <w:pPr>
              <w:spacing w:after="0"/>
              <w:jc w:val="both"/>
            </w:pPr>
            <w:r w:rsidRPr="002B7B3D">
              <w:t>Yksikkö</w:t>
            </w:r>
          </w:p>
        </w:tc>
        <w:tc>
          <w:tcPr>
            <w:tcW w:w="2126" w:type="dxa"/>
            <w:tcBorders>
              <w:top w:val="nil"/>
              <w:left w:val="nil"/>
              <w:bottom w:val="single" w:sz="4" w:space="0" w:color="auto"/>
              <w:right w:val="nil"/>
            </w:tcBorders>
            <w:shd w:val="clear" w:color="auto" w:fill="EEECE1" w:themeFill="background2"/>
            <w:noWrap/>
            <w:hideMark/>
          </w:tcPr>
          <w:p w:rsidR="00801898" w:rsidRPr="002B7B3D" w:rsidRDefault="00801898" w:rsidP="0057091D">
            <w:pPr>
              <w:spacing w:after="0"/>
              <w:jc w:val="both"/>
            </w:pPr>
            <w:r w:rsidRPr="002B7B3D">
              <w:t>Käyttötarkoitus</w:t>
            </w:r>
          </w:p>
        </w:tc>
      </w:tr>
      <w:tr w:rsidR="00801898" w:rsidRPr="002B7B3D" w:rsidTr="0057091D">
        <w:trPr>
          <w:trHeight w:val="300"/>
        </w:trPr>
        <w:tc>
          <w:tcPr>
            <w:tcW w:w="1418" w:type="dxa"/>
            <w:gridSpan w:val="2"/>
            <w:tcBorders>
              <w:top w:val="single" w:sz="4" w:space="0" w:color="auto"/>
              <w:left w:val="nil"/>
              <w:right w:val="nil"/>
            </w:tcBorders>
            <w:shd w:val="clear" w:color="auto" w:fill="auto"/>
            <w:noWrap/>
            <w:hideMark/>
          </w:tcPr>
          <w:p w:rsidR="00801898" w:rsidRPr="002B7B3D" w:rsidRDefault="00801898" w:rsidP="0057091D">
            <w:pPr>
              <w:spacing w:after="0"/>
              <w:jc w:val="both"/>
            </w:pPr>
          </w:p>
        </w:tc>
        <w:tc>
          <w:tcPr>
            <w:tcW w:w="4731" w:type="dxa"/>
            <w:tcBorders>
              <w:top w:val="single" w:sz="4" w:space="0" w:color="auto"/>
              <w:left w:val="nil"/>
              <w:right w:val="nil"/>
            </w:tcBorders>
            <w:shd w:val="clear" w:color="auto" w:fill="auto"/>
            <w:noWrap/>
            <w:hideMark/>
          </w:tcPr>
          <w:p w:rsidR="00801898" w:rsidRPr="002B7B3D" w:rsidRDefault="00801898" w:rsidP="0057091D">
            <w:pPr>
              <w:spacing w:after="0"/>
              <w:jc w:val="both"/>
            </w:pPr>
          </w:p>
        </w:tc>
        <w:tc>
          <w:tcPr>
            <w:tcW w:w="939" w:type="dxa"/>
            <w:tcBorders>
              <w:top w:val="single" w:sz="4" w:space="0" w:color="auto"/>
              <w:left w:val="nil"/>
              <w:right w:val="nil"/>
            </w:tcBorders>
            <w:shd w:val="clear" w:color="auto" w:fill="auto"/>
            <w:noWrap/>
            <w:hideMark/>
          </w:tcPr>
          <w:p w:rsidR="00801898" w:rsidRPr="002B7B3D" w:rsidRDefault="00801898" w:rsidP="0057091D">
            <w:pPr>
              <w:spacing w:after="0"/>
              <w:jc w:val="both"/>
            </w:pPr>
          </w:p>
        </w:tc>
        <w:tc>
          <w:tcPr>
            <w:tcW w:w="2126" w:type="dxa"/>
            <w:tcBorders>
              <w:top w:val="single" w:sz="4" w:space="0" w:color="auto"/>
              <w:left w:val="nil"/>
              <w:right w:val="nil"/>
            </w:tcBorders>
            <w:shd w:val="clear" w:color="auto" w:fill="auto"/>
            <w:noWrap/>
            <w:hideMark/>
          </w:tcPr>
          <w:p w:rsidR="00801898" w:rsidRPr="002B7B3D" w:rsidRDefault="00801898" w:rsidP="0057091D">
            <w:pPr>
              <w:spacing w:after="0"/>
              <w:jc w:val="both"/>
            </w:pPr>
          </w:p>
        </w:tc>
      </w:tr>
      <w:tr w:rsidR="00801898" w:rsidRPr="002B7B3D" w:rsidTr="0057091D">
        <w:trPr>
          <w:trHeight w:val="300"/>
        </w:trPr>
        <w:tc>
          <w:tcPr>
            <w:tcW w:w="1418" w:type="dxa"/>
            <w:gridSpan w:val="2"/>
            <w:tcBorders>
              <w:top w:val="nil"/>
              <w:left w:val="nil"/>
              <w:bottom w:val="single" w:sz="4" w:space="0" w:color="auto"/>
              <w:right w:val="nil"/>
            </w:tcBorders>
            <w:shd w:val="clear" w:color="auto" w:fill="auto"/>
            <w:noWrap/>
            <w:hideMark/>
          </w:tcPr>
          <w:p w:rsidR="00801898" w:rsidRPr="002B7B3D" w:rsidRDefault="00801898" w:rsidP="00801898">
            <w:pPr>
              <w:spacing w:after="0"/>
              <w:jc w:val="both"/>
            </w:pPr>
            <w:r w:rsidRPr="002B7B3D">
              <w:t>PNEC</w:t>
            </w:r>
            <w:r>
              <w:t>sed</w:t>
            </w:r>
            <w:r>
              <w:t>i</w:t>
            </w:r>
            <w:r>
              <w:t>mentti</w:t>
            </w:r>
          </w:p>
        </w:tc>
        <w:tc>
          <w:tcPr>
            <w:tcW w:w="4731" w:type="dxa"/>
            <w:tcBorders>
              <w:top w:val="nil"/>
              <w:left w:val="nil"/>
              <w:bottom w:val="single" w:sz="4" w:space="0" w:color="auto"/>
              <w:right w:val="nil"/>
            </w:tcBorders>
            <w:shd w:val="clear" w:color="auto" w:fill="auto"/>
            <w:noWrap/>
            <w:hideMark/>
          </w:tcPr>
          <w:p w:rsidR="00801898" w:rsidRPr="002B7B3D" w:rsidRDefault="00801898" w:rsidP="0057091D">
            <w:pPr>
              <w:spacing w:after="0"/>
              <w:jc w:val="both"/>
            </w:pPr>
            <w:r w:rsidRPr="002B7B3D">
              <w:t>Johdettu vaikutukseton pitoisuus jakaumasta, herkin trofiataso kyseiselle metallille</w:t>
            </w:r>
          </w:p>
        </w:tc>
        <w:tc>
          <w:tcPr>
            <w:tcW w:w="939" w:type="dxa"/>
            <w:tcBorders>
              <w:top w:val="nil"/>
              <w:left w:val="nil"/>
              <w:bottom w:val="single" w:sz="4" w:space="0" w:color="auto"/>
              <w:right w:val="nil"/>
            </w:tcBorders>
            <w:shd w:val="clear" w:color="auto" w:fill="auto"/>
            <w:noWrap/>
            <w:hideMark/>
          </w:tcPr>
          <w:p w:rsidR="00801898" w:rsidRPr="002B7B3D" w:rsidRDefault="00801898" w:rsidP="0057091D">
            <w:pPr>
              <w:spacing w:after="0"/>
              <w:jc w:val="both"/>
            </w:pPr>
            <w:r w:rsidRPr="002B7B3D">
              <w:t>µg/L</w:t>
            </w:r>
            <w:r>
              <w:t xml:space="preserve"> </w:t>
            </w:r>
            <w:r w:rsidRPr="002B7B3D">
              <w:t>tai mg/kg</w:t>
            </w:r>
          </w:p>
        </w:tc>
        <w:tc>
          <w:tcPr>
            <w:tcW w:w="2126" w:type="dxa"/>
            <w:tcBorders>
              <w:top w:val="nil"/>
              <w:left w:val="nil"/>
              <w:bottom w:val="single" w:sz="4" w:space="0" w:color="auto"/>
              <w:right w:val="nil"/>
            </w:tcBorders>
            <w:shd w:val="clear" w:color="auto" w:fill="auto"/>
            <w:noWrap/>
            <w:hideMark/>
          </w:tcPr>
          <w:p w:rsidR="00801898" w:rsidRPr="002B7B3D" w:rsidRDefault="00801898" w:rsidP="0057091D">
            <w:pPr>
              <w:spacing w:after="0"/>
              <w:jc w:val="both"/>
            </w:pPr>
            <w:r w:rsidRPr="002B7B3D">
              <w:t>Riskinarviointi/RCR lukujen johtaminen</w:t>
            </w:r>
          </w:p>
        </w:tc>
      </w:tr>
    </w:tbl>
    <w:p w:rsidR="00801898" w:rsidRDefault="00801898" w:rsidP="003A6131">
      <w:pPr>
        <w:jc w:val="both"/>
      </w:pPr>
    </w:p>
    <w:p w:rsidR="00801898" w:rsidRDefault="00801898" w:rsidP="003A6131">
      <w:pPr>
        <w:jc w:val="both"/>
      </w:pPr>
    </w:p>
    <w:p w:rsidR="003471C1" w:rsidRDefault="00B8624E" w:rsidP="003A6131">
      <w:pPr>
        <w:jc w:val="both"/>
      </w:pPr>
      <w:r>
        <w:lastRenderedPageBreak/>
        <w:t xml:space="preserve">Vaihe 3: </w:t>
      </w:r>
      <w:r w:rsidR="003471C1">
        <w:t>Biosaatavuuserojen korjaus: kohdekohtaisen PNEC -arvon johtaminen</w:t>
      </w:r>
    </w:p>
    <w:p w:rsidR="003471C1" w:rsidRDefault="003471C1" w:rsidP="003A6131">
      <w:pPr>
        <w:jc w:val="both"/>
      </w:pPr>
      <w:r>
        <w:t>Normalisointi orgaanisella hiilellä</w:t>
      </w:r>
    </w:p>
    <w:p w:rsidR="003471C1" w:rsidRPr="00172069" w:rsidRDefault="003471C1" w:rsidP="00B8624E">
      <w:pPr>
        <w:shd w:val="clear" w:color="auto" w:fill="EEECE1" w:themeFill="background2"/>
        <w:jc w:val="center"/>
      </w:pPr>
      <w:r w:rsidRPr="00172069">
        <w:t>NOEC/EC10 oc, normalized (mg/g OC) = NOEC/EC10total (mg/kg dw)/ fOC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4993"/>
        <w:gridCol w:w="1827"/>
      </w:tblGrid>
      <w:tr w:rsidR="00461EEB" w:rsidRPr="00497960" w:rsidTr="00461EEB">
        <w:tc>
          <w:tcPr>
            <w:tcW w:w="1439" w:type="pct"/>
            <w:shd w:val="clear" w:color="auto" w:fill="EEECE1" w:themeFill="background2"/>
          </w:tcPr>
          <w:p w:rsidR="00461EEB" w:rsidRDefault="00461EEB" w:rsidP="003A6131">
            <w:pPr>
              <w:jc w:val="both"/>
              <w:rPr>
                <w:lang w:val="en-US"/>
              </w:rPr>
            </w:pPr>
            <w:r>
              <w:rPr>
                <w:lang w:val="en-US"/>
              </w:rPr>
              <w:t>SYÖTTEET</w:t>
            </w:r>
          </w:p>
        </w:tc>
        <w:tc>
          <w:tcPr>
            <w:tcW w:w="2607" w:type="pct"/>
            <w:shd w:val="clear" w:color="auto" w:fill="EEECE1" w:themeFill="background2"/>
          </w:tcPr>
          <w:p w:rsidR="00461EEB" w:rsidRDefault="00461EEB" w:rsidP="003A6131">
            <w:pPr>
              <w:jc w:val="both"/>
            </w:pPr>
          </w:p>
        </w:tc>
        <w:tc>
          <w:tcPr>
            <w:tcW w:w="954" w:type="pct"/>
            <w:shd w:val="clear" w:color="auto" w:fill="EEECE1" w:themeFill="background2"/>
          </w:tcPr>
          <w:p w:rsidR="00461EEB" w:rsidRDefault="00461EEB" w:rsidP="003A6131">
            <w:pPr>
              <w:jc w:val="both"/>
            </w:pPr>
          </w:p>
        </w:tc>
      </w:tr>
      <w:tr w:rsidR="003471C1" w:rsidRPr="00497960" w:rsidTr="00461EEB">
        <w:tc>
          <w:tcPr>
            <w:tcW w:w="1439" w:type="pct"/>
            <w:tcBorders>
              <w:bottom w:val="single" w:sz="4" w:space="0" w:color="auto"/>
            </w:tcBorders>
            <w:shd w:val="clear" w:color="auto" w:fill="EEECE1" w:themeFill="background2"/>
          </w:tcPr>
          <w:p w:rsidR="003471C1" w:rsidRPr="00497960" w:rsidRDefault="003471C1" w:rsidP="003A6131">
            <w:pPr>
              <w:jc w:val="both"/>
              <w:rPr>
                <w:lang w:val="en-US"/>
              </w:rPr>
            </w:pPr>
            <w:r>
              <w:rPr>
                <w:lang w:val="en-US"/>
              </w:rPr>
              <w:t>Parametri</w:t>
            </w:r>
          </w:p>
        </w:tc>
        <w:tc>
          <w:tcPr>
            <w:tcW w:w="2607" w:type="pct"/>
            <w:tcBorders>
              <w:bottom w:val="single" w:sz="4" w:space="0" w:color="auto"/>
            </w:tcBorders>
            <w:shd w:val="clear" w:color="auto" w:fill="EEECE1" w:themeFill="background2"/>
          </w:tcPr>
          <w:p w:rsidR="003471C1" w:rsidRPr="00497960" w:rsidRDefault="003471C1" w:rsidP="003A6131">
            <w:pPr>
              <w:jc w:val="both"/>
            </w:pPr>
            <w:r>
              <w:t>Kuvaus</w:t>
            </w:r>
          </w:p>
        </w:tc>
        <w:tc>
          <w:tcPr>
            <w:tcW w:w="954" w:type="pct"/>
            <w:tcBorders>
              <w:bottom w:val="single" w:sz="4" w:space="0" w:color="auto"/>
            </w:tcBorders>
            <w:shd w:val="clear" w:color="auto" w:fill="EEECE1" w:themeFill="background2"/>
          </w:tcPr>
          <w:p w:rsidR="003471C1" w:rsidRPr="00497960" w:rsidRDefault="003471C1" w:rsidP="003A6131">
            <w:pPr>
              <w:jc w:val="both"/>
            </w:pPr>
            <w:r>
              <w:t>Yksikkö</w:t>
            </w:r>
          </w:p>
        </w:tc>
      </w:tr>
      <w:tr w:rsidR="003471C1" w:rsidRPr="00497960" w:rsidTr="003471C1">
        <w:tc>
          <w:tcPr>
            <w:tcW w:w="1439" w:type="pct"/>
            <w:tcBorders>
              <w:top w:val="single" w:sz="4" w:space="0" w:color="auto"/>
            </w:tcBorders>
          </w:tcPr>
          <w:p w:rsidR="003471C1" w:rsidRPr="00497960" w:rsidRDefault="003471C1" w:rsidP="003A6131">
            <w:pPr>
              <w:jc w:val="both"/>
              <w:rPr>
                <w:lang w:val="en-US"/>
              </w:rPr>
            </w:pPr>
            <w:r w:rsidRPr="00497960">
              <w:rPr>
                <w:lang w:val="en-US"/>
              </w:rPr>
              <w:t xml:space="preserve">NOEC/EC10 total </w:t>
            </w:r>
          </w:p>
        </w:tc>
        <w:tc>
          <w:tcPr>
            <w:tcW w:w="2607" w:type="pct"/>
            <w:tcBorders>
              <w:top w:val="single" w:sz="4" w:space="0" w:color="auto"/>
            </w:tcBorders>
          </w:tcPr>
          <w:p w:rsidR="003471C1" w:rsidRPr="00497960" w:rsidRDefault="003471C1" w:rsidP="003A6131">
            <w:pPr>
              <w:jc w:val="both"/>
            </w:pPr>
            <w:r w:rsidRPr="00497960">
              <w:t>kemikaalin havaittu toksisuus eliölle</w:t>
            </w:r>
          </w:p>
        </w:tc>
        <w:tc>
          <w:tcPr>
            <w:tcW w:w="954" w:type="pct"/>
            <w:tcBorders>
              <w:top w:val="single" w:sz="4" w:space="0" w:color="auto"/>
            </w:tcBorders>
          </w:tcPr>
          <w:p w:rsidR="003471C1" w:rsidRPr="00497960" w:rsidRDefault="003471C1" w:rsidP="003A6131">
            <w:pPr>
              <w:jc w:val="both"/>
            </w:pPr>
            <w:r w:rsidRPr="00497960">
              <w:rPr>
                <w:lang w:val="en-US"/>
              </w:rPr>
              <w:t>mg Me</w:t>
            </w:r>
            <w:r>
              <w:rPr>
                <w:lang w:val="en-US"/>
              </w:rPr>
              <w:t xml:space="preserve"> </w:t>
            </w:r>
            <w:r w:rsidRPr="00497960">
              <w:rPr>
                <w:lang w:val="en-US"/>
              </w:rPr>
              <w:t>/</w:t>
            </w:r>
            <w:r>
              <w:rPr>
                <w:lang w:val="en-US"/>
              </w:rPr>
              <w:t xml:space="preserve"> </w:t>
            </w:r>
            <w:r w:rsidRPr="00497960">
              <w:rPr>
                <w:lang w:val="en-US"/>
              </w:rPr>
              <w:t>kg dw</w:t>
            </w:r>
          </w:p>
        </w:tc>
      </w:tr>
      <w:tr w:rsidR="003471C1" w:rsidRPr="00497960" w:rsidTr="003471C1">
        <w:tc>
          <w:tcPr>
            <w:tcW w:w="1439" w:type="pct"/>
          </w:tcPr>
          <w:p w:rsidR="003471C1" w:rsidRPr="00497960" w:rsidRDefault="003471C1" w:rsidP="003A6131">
            <w:pPr>
              <w:jc w:val="both"/>
            </w:pPr>
            <w:r w:rsidRPr="00497960">
              <w:t xml:space="preserve">fOC </w:t>
            </w:r>
          </w:p>
        </w:tc>
        <w:tc>
          <w:tcPr>
            <w:tcW w:w="2607" w:type="pct"/>
          </w:tcPr>
          <w:p w:rsidR="003471C1" w:rsidRPr="00497960" w:rsidRDefault="003471C1" w:rsidP="003A6131">
            <w:pPr>
              <w:jc w:val="both"/>
            </w:pPr>
            <w:r w:rsidRPr="00497960">
              <w:t xml:space="preserve"> orgaanisen hiilen (TOC) osuus</w:t>
            </w:r>
          </w:p>
        </w:tc>
        <w:tc>
          <w:tcPr>
            <w:tcW w:w="954" w:type="pct"/>
          </w:tcPr>
          <w:p w:rsidR="003471C1" w:rsidRPr="00497960" w:rsidRDefault="003471C1" w:rsidP="003A6131">
            <w:pPr>
              <w:jc w:val="both"/>
            </w:pPr>
            <w:r w:rsidRPr="00497960">
              <w:t>%</w:t>
            </w:r>
          </w:p>
        </w:tc>
      </w:tr>
      <w:tr w:rsidR="003471C1" w:rsidRPr="00497960" w:rsidTr="003471C1">
        <w:tc>
          <w:tcPr>
            <w:tcW w:w="1439" w:type="pct"/>
            <w:tcBorders>
              <w:bottom w:val="single" w:sz="4" w:space="0" w:color="auto"/>
            </w:tcBorders>
          </w:tcPr>
          <w:p w:rsidR="003471C1" w:rsidRPr="00497960" w:rsidRDefault="003471C1" w:rsidP="003A6131">
            <w:pPr>
              <w:jc w:val="both"/>
              <w:rPr>
                <w:lang w:val="en-US"/>
              </w:rPr>
            </w:pPr>
            <w:r w:rsidRPr="00497960">
              <w:rPr>
                <w:lang w:val="en-US"/>
              </w:rPr>
              <w:t xml:space="preserve">NOEC/EC10oc, normalized </w:t>
            </w:r>
          </w:p>
        </w:tc>
        <w:tc>
          <w:tcPr>
            <w:tcW w:w="2607" w:type="pct"/>
            <w:tcBorders>
              <w:bottom w:val="single" w:sz="4" w:space="0" w:color="auto"/>
            </w:tcBorders>
          </w:tcPr>
          <w:p w:rsidR="003471C1" w:rsidRPr="00497960" w:rsidRDefault="003471C1" w:rsidP="003A6131">
            <w:pPr>
              <w:jc w:val="both"/>
            </w:pPr>
            <w:r w:rsidRPr="00497960">
              <w:t xml:space="preserve"> orgaanisella hiilellä normalisoitu toksisuustaso</w:t>
            </w:r>
          </w:p>
        </w:tc>
        <w:tc>
          <w:tcPr>
            <w:tcW w:w="954" w:type="pct"/>
            <w:tcBorders>
              <w:bottom w:val="single" w:sz="4" w:space="0" w:color="auto"/>
            </w:tcBorders>
          </w:tcPr>
          <w:p w:rsidR="003471C1" w:rsidRPr="00497960" w:rsidRDefault="003471C1" w:rsidP="003A6131">
            <w:pPr>
              <w:jc w:val="both"/>
            </w:pPr>
            <w:r w:rsidRPr="00497960">
              <w:rPr>
                <w:lang w:val="en-US"/>
              </w:rPr>
              <w:t>mg</w:t>
            </w:r>
            <w:r>
              <w:rPr>
                <w:lang w:val="en-US"/>
              </w:rPr>
              <w:t xml:space="preserve"> </w:t>
            </w:r>
            <w:r w:rsidRPr="00497960">
              <w:rPr>
                <w:lang w:val="en-US"/>
              </w:rPr>
              <w:t>/</w:t>
            </w:r>
            <w:r>
              <w:rPr>
                <w:lang w:val="en-US"/>
              </w:rPr>
              <w:t xml:space="preserve"> </w:t>
            </w:r>
            <w:r w:rsidRPr="00497960">
              <w:rPr>
                <w:lang w:val="en-US"/>
              </w:rPr>
              <w:t>g OC</w:t>
            </w:r>
          </w:p>
        </w:tc>
      </w:tr>
    </w:tbl>
    <w:p w:rsidR="003471C1" w:rsidRDefault="003471C1" w:rsidP="003A6131">
      <w:pPr>
        <w:jc w:val="both"/>
      </w:pPr>
    </w:p>
    <w:p w:rsidR="00172069" w:rsidRDefault="00172069" w:rsidP="00172069">
      <w:r w:rsidRPr="00172069">
        <w:t>Archen kehittämä SOILPNEC laskentaohjelma (http://www.arche-consulting.be/metal-csa-toolbox/soil-pnec-calculator/) on luotu maaperän metallipitoisuuksien riskinarviointiin ennu</w:t>
      </w:r>
      <w:r w:rsidRPr="00172069">
        <w:t>s</w:t>
      </w:r>
      <w:r w:rsidRPr="00172069">
        <w:t>tamaan PNEC-, PEC- ja RCR -arvot sekä PAF %. PAF% kuvastaa sitä prosenttiosuutta maaekosy</w:t>
      </w:r>
      <w:r w:rsidRPr="00172069">
        <w:t>s</w:t>
      </w:r>
      <w:r w:rsidRPr="00172069">
        <w:t>teemin eliölajeista, jonka ennustetaan olevan haitallisten vaikutusten alaisena.</w:t>
      </w:r>
      <w:r>
        <w:t xml:space="preserve"> </w:t>
      </w:r>
      <w:r w:rsidRPr="00172069">
        <w:t xml:space="preserve">Sedimenteille ei ole kehitetty vastaavaa työkalua, mutta sitä </w:t>
      </w:r>
      <w:r>
        <w:t>voidaan sovel</w:t>
      </w:r>
      <w:r w:rsidRPr="00172069">
        <w:t xml:space="preserve">taa tässä yhteydessä </w:t>
      </w:r>
      <w:r>
        <w:t>riskin</w:t>
      </w:r>
      <w:r w:rsidRPr="00172069">
        <w:t>arvioi</w:t>
      </w:r>
      <w:r>
        <w:t>ntii</w:t>
      </w:r>
      <w:r w:rsidRPr="00172069">
        <w:t xml:space="preserve">n </w:t>
      </w:r>
      <w:r>
        <w:t>esimerkiksi jos</w:t>
      </w:r>
      <w:r w:rsidRPr="00172069">
        <w:t xml:space="preserve"> </w:t>
      </w:r>
      <w:r>
        <w:t xml:space="preserve">suunnitellaan </w:t>
      </w:r>
      <w:r w:rsidRPr="00172069">
        <w:t>sedimenttimassan käyt</w:t>
      </w:r>
      <w:r>
        <w:t>t</w:t>
      </w:r>
      <w:r w:rsidRPr="00172069">
        <w:t xml:space="preserve">öä maantäyteaineena.  </w:t>
      </w:r>
    </w:p>
    <w:p w:rsidR="00461EEB" w:rsidRPr="002B7B3D" w:rsidRDefault="00461EEB" w:rsidP="00461EEB">
      <w:pPr>
        <w:pStyle w:val="Heading1"/>
        <w:jc w:val="both"/>
      </w:pPr>
      <w:r w:rsidRPr="002B7B3D">
        <w:t>PERUSTELUT</w:t>
      </w:r>
    </w:p>
    <w:p w:rsidR="00172069" w:rsidRDefault="00172069" w:rsidP="00172069">
      <w:pPr>
        <w:jc w:val="both"/>
      </w:pPr>
    </w:p>
    <w:p w:rsidR="00172069" w:rsidRDefault="00172069" w:rsidP="00172069">
      <w:pPr>
        <w:jc w:val="both"/>
      </w:pPr>
      <w:r>
        <w:t>1. Perusarviointi</w:t>
      </w:r>
    </w:p>
    <w:p w:rsidR="00172069" w:rsidRDefault="00172069" w:rsidP="00172069">
      <w:pPr>
        <w:jc w:val="both"/>
      </w:pPr>
      <w:r>
        <w:t>1.1 Vaaranarviointi ruoppaus- ja läjitysmassojen laatukriteereiden perusteella</w:t>
      </w:r>
    </w:p>
    <w:p w:rsidR="00172069" w:rsidRDefault="00172069" w:rsidP="00172069">
      <w:pPr>
        <w:jc w:val="both"/>
      </w:pPr>
      <w:r>
        <w:t>Sedimenttien metallipitoisuuksille ei ole vielä olemassa tai asetettu yhteisöllisiä tai kansallisia ympäristönlaatunormeja (EQS -arvoja) tai raja-arvoja. Sedimenttien metallipitoisuuksien raja-arvoina voidaan soveltaa ympäristöministeriön ohjetta ruoppaus ja läjitysmassojen laatukrite</w:t>
      </w:r>
      <w:r>
        <w:t>e</w:t>
      </w:r>
      <w:r>
        <w:t>reistä [1]. Laatukriteerit koskevat ensisijaisesti läjityskelpoisuuden arviointia meriympäristössä, mutta niitä on sovellettu myös sisävesien ruoppausmassoille. Sedimentin haitta-ainepitoisuudet normalisoidaan standardisedimentin pitoisuuksiksi ja verrataan ruoppausmassojen laatukrite</w:t>
      </w:r>
      <w:r>
        <w:t>e</w:t>
      </w:r>
      <w:r>
        <w:t>reihin tasoon 1 ja 2 (Taulukko 1). Laatukriteerin taso 1 arvot vastaavat haitatonta tasoa ja tason 2 arvot ovat pilaantunutta massaa, joka sisältää haitta-ainetason puolesta mereen läjityskelv</w:t>
      </w:r>
      <w:r>
        <w:t>o</w:t>
      </w:r>
      <w:r>
        <w:t>tonta ainesta. Tasojen 1 ja 2 välille jääviä pitoisuuksia luokitellaan harmaaksi alueeksi eli ma</w:t>
      </w:r>
      <w:r>
        <w:t>h</w:t>
      </w:r>
      <w:r>
        <w:t>dollisesti pilaantuneeksi ruoppausmassaksi, jonka haitallisuus on aina selvitettävä tapauskohta</w:t>
      </w:r>
      <w:r>
        <w:t>i</w:t>
      </w:r>
      <w:r>
        <w:t>sesti. Haitallisten aineiden laatukriteerejä eli pitoisuusraja-arvoja ei ole tarkoitettu käytettäväksi normiluonteisesti, vaan paikalliset olosuhteet tulee aina ottaa huomioon.</w:t>
      </w:r>
    </w:p>
    <w:p w:rsidR="00172069" w:rsidRDefault="00172069" w:rsidP="00172069">
      <w:pPr>
        <w:jc w:val="both"/>
      </w:pPr>
    </w:p>
    <w:p w:rsidR="00172069" w:rsidRDefault="00172069" w:rsidP="00172069">
      <w:pPr>
        <w:jc w:val="both"/>
      </w:pPr>
      <w:r>
        <w:lastRenderedPageBreak/>
        <w:t>Sedimentin metallipitoisuuksien normalisointi standardisedimentin pitoisuuksiksi</w:t>
      </w:r>
    </w:p>
    <w:p w:rsidR="00172069" w:rsidRDefault="00172069" w:rsidP="00172069">
      <w:pPr>
        <w:jc w:val="both"/>
      </w:pPr>
      <w:r>
        <w:t>Lähtökohtana on, että metallit kiinnittyvät sedimentin hienoimpiin fraktioihin saveen ja o</w:t>
      </w:r>
      <w:r>
        <w:t>r</w:t>
      </w:r>
      <w:r>
        <w:t>gaaniseen ainekseen. Rakenteeltaan erilaiset sedimentit saadaan vertailukelpoiseksi muunt</w:t>
      </w:r>
      <w:r>
        <w:t>a</w:t>
      </w:r>
      <w:r>
        <w:t>malla niistä mitatut pitoisuudet tietyn standardisedimentin pitoisuuksiksi. Suomessa norm</w:t>
      </w:r>
      <w:r>
        <w:t>a</w:t>
      </w:r>
      <w:r>
        <w:t>lisoinnissa käytetään samaa menetelmää kuin Hollannissa. Sedimentin mitatut metallipitoisu</w:t>
      </w:r>
      <w:r>
        <w:t>u</w:t>
      </w:r>
      <w:r>
        <w:t>det normalisoidaan vastaamaan pitoisuutta standardisedimentissä, jossa saven (eli &lt; 2 µm a</w:t>
      </w:r>
      <w:r>
        <w:t>i</w:t>
      </w:r>
      <w:r>
        <w:t>neksen) osuus on 25% ja orgaanisen aineksen 10% .[1]</w:t>
      </w:r>
    </w:p>
    <w:p w:rsidR="00172069" w:rsidRDefault="00172069" w:rsidP="00172069">
      <w:pPr>
        <w:jc w:val="both"/>
      </w:pPr>
    </w:p>
    <w:p w:rsidR="00172069" w:rsidRDefault="00172069" w:rsidP="00172069">
      <w:pPr>
        <w:jc w:val="both"/>
      </w:pPr>
      <w:r>
        <w:t>1.2 Vaaranarviointi maaperän haitallisten metallien ohje-arvopitoisuuksien perusteella (PIMA)</w:t>
      </w:r>
    </w:p>
    <w:p w:rsidR="00172069" w:rsidRDefault="00172069" w:rsidP="00172069">
      <w:pPr>
        <w:jc w:val="both"/>
      </w:pPr>
      <w:r>
        <w:t>Jos ruoppaussedimenttiä suunnitellaan maalle läjitettäväksi tai käytettäväksi maanparannusa</w:t>
      </w:r>
      <w:r>
        <w:t>i</w:t>
      </w:r>
      <w:r>
        <w:t>neena, sedimentin pilaantuneisuutta voidaan arvioida maaperän kynnys- ja ohjearvojen peru</w:t>
      </w:r>
      <w:r>
        <w:t>s</w:t>
      </w:r>
      <w:r>
        <w:t>teella (VNa 214/2007, Valtioneuvoston asetus maaperän pilaantuneisuuden ja puhdistusta</w:t>
      </w:r>
      <w:r>
        <w:t>r</w:t>
      </w:r>
      <w:r>
        <w:t>peen arvioinnista) (Ympäristöministeriö 2007)[2]. Asetuksen ohjearvot eivät koske sedimenttiä vaan ainoastaan pilaantunutta maa-ainesta.</w:t>
      </w:r>
    </w:p>
    <w:p w:rsidR="00172069" w:rsidRDefault="00172069" w:rsidP="00172069">
      <w:pPr>
        <w:jc w:val="both"/>
      </w:pPr>
    </w:p>
    <w:p w:rsidR="00172069" w:rsidRDefault="00172069" w:rsidP="00172069">
      <w:pPr>
        <w:jc w:val="both"/>
      </w:pPr>
      <w:r>
        <w:t>2. Tarkennettu arviointi</w:t>
      </w:r>
    </w:p>
    <w:p w:rsidR="00172069" w:rsidRDefault="00172069" w:rsidP="00172069">
      <w:pPr>
        <w:jc w:val="both"/>
      </w:pPr>
      <w:r>
        <w:t>Jos perusarvioinnissa saatu vaarasuhde (HQ) on &gt; 1, vaaran arvioimista tulee tarkentaa vaihei</w:t>
      </w:r>
      <w:r>
        <w:t>t</w:t>
      </w:r>
      <w:r>
        <w:t>taisella tarkennuksella (ECHA 2008)[3]:</w:t>
      </w:r>
    </w:p>
    <w:p w:rsidR="00172069" w:rsidRDefault="00172069" w:rsidP="00172069">
      <w:pPr>
        <w:jc w:val="both"/>
      </w:pPr>
    </w:p>
    <w:p w:rsidR="00172069" w:rsidRDefault="00172069" w:rsidP="00172069">
      <w:pPr>
        <w:jc w:val="both"/>
      </w:pPr>
      <w:r>
        <w:t>Vaihe 1: Kd - sedimentti:vesi -jakautumiskerroin</w:t>
      </w:r>
    </w:p>
    <w:p w:rsidR="00172069" w:rsidRDefault="00172069" w:rsidP="00172069">
      <w:pPr>
        <w:jc w:val="both"/>
      </w:pPr>
      <w:r>
        <w:t>Jos vesistöjen pohjasedimenttille ei ole saatavilla luotettavaa toksisuustietoa, sedimentin PNEC arvo voidaan laskea tasapainokertoimen avulla käyttämällä pintaveden PNEC arvoa ja pahi</w:t>
      </w:r>
      <w:r>
        <w:t>m</w:t>
      </w:r>
      <w:r>
        <w:t>man tilanteen sedimentti : vesi –jakautumiskerrointa (Kd). Koska metallien jakautumiseen v</w:t>
      </w:r>
      <w:r>
        <w:t>e</w:t>
      </w:r>
      <w:r>
        <w:t>siympäristössä vaikuttavat monet tekijät eikä ainoastaan orgaanisen aineksen määrä, jakaut</w:t>
      </w:r>
      <w:r>
        <w:t>u</w:t>
      </w:r>
      <w:r>
        <w:t>miskerroin vaihtelee runsaasti eri ympäristöissä. Tasapainokertoimeen perustuva menettely ei korvaa sedimenttieliöiden toksisuustietoja ja sitä tulee käyttää ainoastaan seulomaan ne a</w:t>
      </w:r>
      <w:r>
        <w:t>i</w:t>
      </w:r>
      <w:r>
        <w:t>neet, jotka vaativat lisätutkimusta. Perustellussa pahimmassa tilanteessa käytetään 10. perse</w:t>
      </w:r>
      <w:r>
        <w:t>n</w:t>
      </w:r>
      <w:r>
        <w:t>tiilin Kd arvoja. Jos adsorptiolla on merkitystä, niin ylimääräinen arviointikerroin 10 tulisi lisätä riskilukuun, jotta arviointi huomioisi ravinnonkautta altistumisen.</w:t>
      </w:r>
    </w:p>
    <w:p w:rsidR="00172069" w:rsidRDefault="00172069" w:rsidP="00172069">
      <w:pPr>
        <w:jc w:val="both"/>
      </w:pPr>
    </w:p>
    <w:p w:rsidR="00172069" w:rsidRDefault="00172069" w:rsidP="00172069">
      <w:pPr>
        <w:jc w:val="both"/>
      </w:pPr>
      <w:r>
        <w:t>Vaihe 2: Yleinen PNEC -arvo sedimenteille</w:t>
      </w:r>
    </w:p>
    <w:p w:rsidR="00801898" w:rsidRDefault="00801898" w:rsidP="00801898">
      <w:pPr>
        <w:jc w:val="both"/>
      </w:pPr>
      <w:r>
        <w:lastRenderedPageBreak/>
        <w:t>Jos tasapainokerroinmenetelmällä saatu riskiluku (RCR) on &gt;1, vaaran arvioimista tulee tarke</w:t>
      </w:r>
      <w:r>
        <w:t>n</w:t>
      </w:r>
      <w:r>
        <w:t>taa käyttämällä sedimenttieliöiden toksisuustestejä ja johdetaan yleinen PNEC arvo sedimenti</w:t>
      </w:r>
      <w:r>
        <w:t>l</w:t>
      </w:r>
      <w:r>
        <w:t>le joko arviointikertoimella (AF) tai lajien välisestä herkkyysjakaumasta (SDD jakauma) kuten on esitetty vesistöjen ja maaperän ekologisten riskien arviointien kohdalla.</w:t>
      </w:r>
    </w:p>
    <w:p w:rsidR="00172069" w:rsidRDefault="00172069" w:rsidP="00172069">
      <w:pPr>
        <w:jc w:val="both"/>
      </w:pPr>
    </w:p>
    <w:p w:rsidR="00172069" w:rsidRDefault="00172069" w:rsidP="00172069">
      <w:pPr>
        <w:jc w:val="both"/>
      </w:pPr>
      <w:r>
        <w:t>Vaihe 3: Biosaatavuuserojen korjaus: kohdekohtaisen PNEC -arvon johtaminen</w:t>
      </w:r>
    </w:p>
    <w:p w:rsidR="00172069" w:rsidRDefault="00172069" w:rsidP="00172069">
      <w:pPr>
        <w:jc w:val="both"/>
      </w:pPr>
      <w:r>
        <w:t>Sedimentin metallien biosaatavuuden laskemiseen ei ole tällä hetkellä olemassa valmiita työk</w:t>
      </w:r>
      <w:r>
        <w:t>a</w:t>
      </w:r>
      <w:r>
        <w:t>luja (bioottisia ligandi,BLM -malleja), joten korjaus voidaan tehdä vain kemikaalin biosaatavu</w:t>
      </w:r>
      <w:r>
        <w:t>u</w:t>
      </w:r>
      <w:r>
        <w:t>delle. Erilaiset ligandit/prosessit (kuten orgaaninen hiili, sulfidit, rauta- ja mangaani oksihydro</w:t>
      </w:r>
      <w:r>
        <w:t>k</w:t>
      </w:r>
      <w:r>
        <w:t>sidit sekä redox-potentiaali) säätelevät metallien biosaatavuutta sedimenteissä ja näiden sido</w:t>
      </w:r>
      <w:r>
        <w:t>s</w:t>
      </w:r>
      <w:r>
        <w:t>faasien suhteellinen tärkeys voi vaihdella riippuen metallien sitoutumiskyvystä ja yleisestä käy</w:t>
      </w:r>
      <w:r>
        <w:t>t</w:t>
      </w:r>
      <w:r>
        <w:t>täytymisestä. Biosaatavuuden arvioinnissa tulisi arvioida orgaanisen aineksen, Fe-Mn-oksidien ja sulfidien keskinäistä roolia metallien pidättymisessä ja tarkastella metallipitoisuuksien no</w:t>
      </w:r>
      <w:r>
        <w:t>r</w:t>
      </w:r>
      <w:r>
        <w:t>malisoimista useamman tekijän suhteen (Finmerac 2008)[4]</w:t>
      </w:r>
    </w:p>
    <w:p w:rsidR="00172069" w:rsidRDefault="00172069" w:rsidP="00172069">
      <w:pPr>
        <w:jc w:val="both"/>
      </w:pPr>
      <w:r>
        <w:t>Normalisointi orgaanisella hiilellä</w:t>
      </w:r>
    </w:p>
    <w:p w:rsidR="00172069" w:rsidRDefault="00172069" w:rsidP="00172069">
      <w:pPr>
        <w:jc w:val="both"/>
      </w:pPr>
      <w:r>
        <w:t>Orgaaniseen hiileen tehokkaasti sitoutuville metalleille on hyödyllistä testata onko havaitun toksisuustason ja orgaanisen hiilen välillä lineaarista suhdetta. Jos lineaarinen suhde voidaan havaita, niin toksisuusarvojen vaihtelua, joka johtuu orgaanisen hiilen pitoisuusvaihteluista, voidaan pienentää normalisoimalla jokainen NOEC/EC10 arvo seuraavalla kaavalla (ECHA 2008):</w:t>
      </w:r>
    </w:p>
    <w:p w:rsidR="00461EEB" w:rsidRPr="002B7B3D" w:rsidRDefault="00461EEB" w:rsidP="00461EEB">
      <w:pPr>
        <w:jc w:val="both"/>
      </w:pPr>
    </w:p>
    <w:p w:rsidR="00461EEB" w:rsidRPr="002B7B3D" w:rsidRDefault="00461EEB" w:rsidP="00461EEB">
      <w:pPr>
        <w:pStyle w:val="Heading1"/>
        <w:jc w:val="both"/>
      </w:pPr>
      <w:r w:rsidRPr="002B7B3D">
        <w:t>TARKISTUSLISTA</w:t>
      </w:r>
    </w:p>
    <w:p w:rsidR="00461EEB" w:rsidRPr="002B7B3D" w:rsidRDefault="00461EEB" w:rsidP="00461EEB">
      <w:pPr>
        <w:jc w:val="both"/>
      </w:pPr>
      <w:r w:rsidRPr="002B7B3D">
        <w:t xml:space="preserve">Tarkista, että kaikki tämän listan asiat on käyty läpi ennen kuin julistat arvioinnin valmiiksi. </w:t>
      </w:r>
    </w:p>
    <w:tbl>
      <w:tblPr>
        <w:tblStyle w:val="TableGrid"/>
        <w:tblW w:w="5000" w:type="pct"/>
        <w:tblLayout w:type="fixed"/>
        <w:tblLook w:val="04A0" w:firstRow="1" w:lastRow="0" w:firstColumn="1" w:lastColumn="0" w:noHBand="0" w:noVBand="1"/>
      </w:tblPr>
      <w:tblGrid>
        <w:gridCol w:w="1527"/>
        <w:gridCol w:w="1558"/>
        <w:gridCol w:w="1701"/>
        <w:gridCol w:w="1134"/>
        <w:gridCol w:w="1276"/>
        <w:gridCol w:w="1419"/>
        <w:gridCol w:w="961"/>
      </w:tblGrid>
      <w:tr w:rsidR="00461EEB" w:rsidRPr="002B7B3D" w:rsidTr="00461EEB">
        <w:tc>
          <w:tcPr>
            <w:tcW w:w="797" w:type="pct"/>
          </w:tcPr>
          <w:p w:rsidR="00461EEB" w:rsidRPr="002B7B3D" w:rsidRDefault="00461EEB" w:rsidP="00461EEB">
            <w:pPr>
              <w:jc w:val="both"/>
            </w:pPr>
            <w:r w:rsidRPr="002B7B3D">
              <w:t xml:space="preserve">Asia  </w:t>
            </w:r>
          </w:p>
        </w:tc>
        <w:tc>
          <w:tcPr>
            <w:tcW w:w="813" w:type="pct"/>
          </w:tcPr>
          <w:p w:rsidR="00461EEB" w:rsidRPr="002B7B3D" w:rsidRDefault="00461EEB" w:rsidP="00461EEB">
            <w:pPr>
              <w:jc w:val="both"/>
            </w:pPr>
            <w:r w:rsidRPr="002B7B3D">
              <w:t>Ohjesivu</w:t>
            </w:r>
          </w:p>
        </w:tc>
        <w:tc>
          <w:tcPr>
            <w:tcW w:w="888" w:type="pct"/>
          </w:tcPr>
          <w:p w:rsidR="00461EEB" w:rsidRPr="002B7B3D" w:rsidRDefault="00461EEB" w:rsidP="00461EEB">
            <w:pPr>
              <w:jc w:val="both"/>
            </w:pPr>
            <w:r w:rsidRPr="002B7B3D">
              <w:t xml:space="preserve">Kohdekohtaiset tiedot </w:t>
            </w:r>
          </w:p>
        </w:tc>
        <w:tc>
          <w:tcPr>
            <w:tcW w:w="592" w:type="pct"/>
          </w:tcPr>
          <w:p w:rsidR="00461EEB" w:rsidRPr="002B7B3D" w:rsidRDefault="00461EEB" w:rsidP="00461EEB">
            <w:pPr>
              <w:jc w:val="both"/>
            </w:pPr>
            <w:r w:rsidRPr="002B7B3D">
              <w:t>Kuka ho</w:t>
            </w:r>
            <w:r w:rsidRPr="002B7B3D">
              <w:t>i</w:t>
            </w:r>
            <w:r w:rsidRPr="002B7B3D">
              <w:t>taa</w:t>
            </w:r>
          </w:p>
        </w:tc>
        <w:tc>
          <w:tcPr>
            <w:tcW w:w="666" w:type="pct"/>
          </w:tcPr>
          <w:p w:rsidR="00461EEB" w:rsidRPr="002B7B3D" w:rsidRDefault="00461EEB" w:rsidP="00461EEB">
            <w:pPr>
              <w:jc w:val="both"/>
            </w:pPr>
            <w:r w:rsidRPr="002B7B3D">
              <w:t>Valmistu</w:t>
            </w:r>
            <w:r w:rsidRPr="002B7B3D">
              <w:t>t</w:t>
            </w:r>
            <w:r w:rsidRPr="002B7B3D">
              <w:t>tava pvm</w:t>
            </w:r>
          </w:p>
        </w:tc>
        <w:tc>
          <w:tcPr>
            <w:tcW w:w="741" w:type="pct"/>
          </w:tcPr>
          <w:p w:rsidR="00461EEB" w:rsidRPr="002B7B3D" w:rsidRDefault="00461EEB" w:rsidP="00461EEB">
            <w:pPr>
              <w:jc w:val="both"/>
            </w:pPr>
            <w:r w:rsidRPr="002B7B3D">
              <w:t xml:space="preserve">Hoidettu? </w:t>
            </w:r>
          </w:p>
        </w:tc>
        <w:tc>
          <w:tcPr>
            <w:tcW w:w="502" w:type="pct"/>
          </w:tcPr>
          <w:p w:rsidR="00461EEB" w:rsidRPr="002B7B3D" w:rsidRDefault="00461EEB" w:rsidP="00461EEB">
            <w:pPr>
              <w:jc w:val="both"/>
            </w:pPr>
            <w:r w:rsidRPr="002B7B3D">
              <w:t>Kuvaus</w:t>
            </w:r>
          </w:p>
        </w:tc>
      </w:tr>
      <w:tr w:rsidR="00461EEB" w:rsidRPr="002B7B3D" w:rsidTr="00461EEB">
        <w:tc>
          <w:tcPr>
            <w:tcW w:w="797" w:type="pct"/>
          </w:tcPr>
          <w:p w:rsidR="00461EEB" w:rsidRPr="002B7B3D" w:rsidRDefault="00461EEB" w:rsidP="00461EEB">
            <w:pPr>
              <w:jc w:val="both"/>
            </w:pPr>
            <w:r w:rsidRPr="002B7B3D">
              <w:t>Riskin arvio</w:t>
            </w:r>
            <w:r w:rsidRPr="002B7B3D">
              <w:t>i</w:t>
            </w:r>
            <w:r w:rsidRPr="002B7B3D">
              <w:t xml:space="preserve">mistarpeen tunnistaminen </w:t>
            </w:r>
          </w:p>
        </w:tc>
        <w:tc>
          <w:tcPr>
            <w:tcW w:w="813" w:type="pct"/>
          </w:tcPr>
          <w:p w:rsidR="00461EEB" w:rsidRPr="002B7B3D" w:rsidRDefault="00461EEB" w:rsidP="00461EEB">
            <w:pPr>
              <w:jc w:val="both"/>
            </w:pPr>
            <w:r w:rsidRPr="002B7B3D">
              <w:t>Arviointita</w:t>
            </w:r>
            <w:r w:rsidRPr="002B7B3D">
              <w:t>r</w:t>
            </w:r>
            <w:r w:rsidRPr="002B7B3D">
              <w:t>peen tunni</w:t>
            </w:r>
            <w:r w:rsidRPr="002B7B3D">
              <w:t>s</w:t>
            </w:r>
            <w:r w:rsidRPr="002B7B3D">
              <w:t>taminen</w:t>
            </w:r>
          </w:p>
        </w:tc>
        <w:tc>
          <w:tcPr>
            <w:tcW w:w="888" w:type="pct"/>
          </w:tcPr>
          <w:p w:rsidR="00461EEB" w:rsidRPr="002B7B3D" w:rsidRDefault="00461EEB" w:rsidP="00461EEB">
            <w:pPr>
              <w:jc w:val="both"/>
            </w:pPr>
          </w:p>
        </w:tc>
        <w:tc>
          <w:tcPr>
            <w:tcW w:w="592" w:type="pct"/>
          </w:tcPr>
          <w:p w:rsidR="00461EEB" w:rsidRPr="002B7B3D" w:rsidRDefault="00461EEB" w:rsidP="00461EEB">
            <w:pPr>
              <w:jc w:val="both"/>
            </w:pPr>
            <w:r w:rsidRPr="002B7B3D">
              <w:t xml:space="preserve">Projekti-vastaava </w:t>
            </w:r>
          </w:p>
        </w:tc>
        <w:tc>
          <w:tcPr>
            <w:tcW w:w="666" w:type="pct"/>
          </w:tcPr>
          <w:p w:rsidR="00461EEB" w:rsidRPr="002B7B3D" w:rsidRDefault="00461EEB" w:rsidP="00461EEB">
            <w:pPr>
              <w:jc w:val="both"/>
            </w:pPr>
          </w:p>
        </w:tc>
        <w:tc>
          <w:tcPr>
            <w:tcW w:w="741" w:type="pct"/>
          </w:tcPr>
          <w:p w:rsidR="00461EEB" w:rsidRPr="002B7B3D" w:rsidRDefault="00461EEB" w:rsidP="00461EEB">
            <w:pPr>
              <w:jc w:val="both"/>
            </w:pPr>
          </w:p>
        </w:tc>
        <w:tc>
          <w:tcPr>
            <w:tcW w:w="502" w:type="pct"/>
          </w:tcPr>
          <w:p w:rsidR="00461EEB" w:rsidRPr="002B7B3D" w:rsidRDefault="00461EEB" w:rsidP="00461EEB">
            <w:pPr>
              <w:jc w:val="both"/>
            </w:pPr>
          </w:p>
        </w:tc>
      </w:tr>
      <w:tr w:rsidR="00461EEB" w:rsidRPr="002B7B3D" w:rsidTr="00461EEB">
        <w:tc>
          <w:tcPr>
            <w:tcW w:w="797" w:type="pct"/>
          </w:tcPr>
          <w:p w:rsidR="00461EEB" w:rsidRPr="002B7B3D" w:rsidRDefault="00461EEB" w:rsidP="00461EEB">
            <w:pPr>
              <w:jc w:val="both"/>
            </w:pPr>
            <w:r w:rsidRPr="002B7B3D">
              <w:t>Perusarvio</w:t>
            </w:r>
          </w:p>
        </w:tc>
        <w:tc>
          <w:tcPr>
            <w:tcW w:w="813" w:type="pct"/>
          </w:tcPr>
          <w:p w:rsidR="00461EEB" w:rsidRPr="002B7B3D" w:rsidRDefault="00461EEB" w:rsidP="00461EEB">
            <w:pPr>
              <w:jc w:val="both"/>
            </w:pPr>
            <w:r w:rsidRPr="002B7B3D">
              <w:t>Perusarvio</w:t>
            </w:r>
          </w:p>
        </w:tc>
        <w:tc>
          <w:tcPr>
            <w:tcW w:w="888" w:type="pct"/>
          </w:tcPr>
          <w:p w:rsidR="00461EEB" w:rsidRPr="002B7B3D" w:rsidRDefault="00461EEB" w:rsidP="00461EEB">
            <w:pPr>
              <w:jc w:val="both"/>
            </w:pPr>
          </w:p>
        </w:tc>
        <w:tc>
          <w:tcPr>
            <w:tcW w:w="592" w:type="pct"/>
          </w:tcPr>
          <w:p w:rsidR="00461EEB" w:rsidRPr="002B7B3D" w:rsidRDefault="00461EEB" w:rsidP="00461EEB">
            <w:pPr>
              <w:jc w:val="both"/>
            </w:pPr>
          </w:p>
        </w:tc>
        <w:tc>
          <w:tcPr>
            <w:tcW w:w="666" w:type="pct"/>
          </w:tcPr>
          <w:p w:rsidR="00461EEB" w:rsidRPr="002B7B3D" w:rsidRDefault="00461EEB" w:rsidP="00461EEB">
            <w:pPr>
              <w:jc w:val="both"/>
            </w:pPr>
          </w:p>
        </w:tc>
        <w:tc>
          <w:tcPr>
            <w:tcW w:w="741" w:type="pct"/>
          </w:tcPr>
          <w:p w:rsidR="00461EEB" w:rsidRPr="002B7B3D" w:rsidRDefault="00461EEB" w:rsidP="00461EEB">
            <w:pPr>
              <w:jc w:val="both"/>
            </w:pPr>
          </w:p>
        </w:tc>
        <w:tc>
          <w:tcPr>
            <w:tcW w:w="502" w:type="pct"/>
          </w:tcPr>
          <w:p w:rsidR="00461EEB" w:rsidRPr="002B7B3D" w:rsidRDefault="00461EEB" w:rsidP="00461EEB">
            <w:pPr>
              <w:jc w:val="both"/>
            </w:pPr>
          </w:p>
        </w:tc>
      </w:tr>
      <w:tr w:rsidR="00461EEB" w:rsidRPr="002B7B3D" w:rsidTr="00461EEB">
        <w:tc>
          <w:tcPr>
            <w:tcW w:w="797" w:type="pct"/>
          </w:tcPr>
          <w:p w:rsidR="00461EEB" w:rsidRPr="002B7B3D" w:rsidRDefault="00461EEB" w:rsidP="00461EEB">
            <w:pPr>
              <w:jc w:val="both"/>
            </w:pPr>
            <w:r w:rsidRPr="002B7B3D">
              <w:t>Tarkennettu arvio</w:t>
            </w:r>
          </w:p>
        </w:tc>
        <w:tc>
          <w:tcPr>
            <w:tcW w:w="813" w:type="pct"/>
          </w:tcPr>
          <w:p w:rsidR="00461EEB" w:rsidRPr="002B7B3D" w:rsidRDefault="00461EEB" w:rsidP="00461EEB">
            <w:pPr>
              <w:jc w:val="both"/>
            </w:pPr>
            <w:r w:rsidRPr="002B7B3D">
              <w:t>Kd-laskenta ja PNEC</w:t>
            </w:r>
          </w:p>
        </w:tc>
        <w:tc>
          <w:tcPr>
            <w:tcW w:w="888" w:type="pct"/>
          </w:tcPr>
          <w:p w:rsidR="00461EEB" w:rsidRPr="002B7B3D" w:rsidRDefault="00461EEB" w:rsidP="00461EEB">
            <w:pPr>
              <w:jc w:val="both"/>
            </w:pPr>
          </w:p>
        </w:tc>
        <w:tc>
          <w:tcPr>
            <w:tcW w:w="592" w:type="pct"/>
          </w:tcPr>
          <w:p w:rsidR="00461EEB" w:rsidRPr="002B7B3D" w:rsidRDefault="00461EEB" w:rsidP="00461EEB">
            <w:pPr>
              <w:jc w:val="both"/>
            </w:pPr>
          </w:p>
        </w:tc>
        <w:tc>
          <w:tcPr>
            <w:tcW w:w="666" w:type="pct"/>
          </w:tcPr>
          <w:p w:rsidR="00461EEB" w:rsidRPr="002B7B3D" w:rsidRDefault="00461EEB" w:rsidP="00461EEB">
            <w:pPr>
              <w:jc w:val="both"/>
            </w:pPr>
          </w:p>
        </w:tc>
        <w:tc>
          <w:tcPr>
            <w:tcW w:w="741" w:type="pct"/>
          </w:tcPr>
          <w:p w:rsidR="00461EEB" w:rsidRPr="002B7B3D" w:rsidRDefault="00461EEB" w:rsidP="00461EEB">
            <w:pPr>
              <w:jc w:val="both"/>
            </w:pPr>
          </w:p>
        </w:tc>
        <w:tc>
          <w:tcPr>
            <w:tcW w:w="502" w:type="pct"/>
          </w:tcPr>
          <w:p w:rsidR="00461EEB" w:rsidRPr="002B7B3D" w:rsidRDefault="00461EEB" w:rsidP="00461EEB">
            <w:pPr>
              <w:jc w:val="both"/>
            </w:pPr>
          </w:p>
        </w:tc>
      </w:tr>
      <w:tr w:rsidR="00461EEB" w:rsidRPr="002B7B3D" w:rsidTr="00461EEB">
        <w:tc>
          <w:tcPr>
            <w:tcW w:w="797" w:type="pct"/>
          </w:tcPr>
          <w:p w:rsidR="00461EEB" w:rsidRPr="002B7B3D" w:rsidRDefault="00461EEB" w:rsidP="00461EEB">
            <w:pPr>
              <w:jc w:val="both"/>
            </w:pPr>
          </w:p>
        </w:tc>
        <w:tc>
          <w:tcPr>
            <w:tcW w:w="813" w:type="pct"/>
          </w:tcPr>
          <w:p w:rsidR="00461EEB" w:rsidRPr="002B7B3D" w:rsidRDefault="00461EEB" w:rsidP="00461EEB">
            <w:pPr>
              <w:jc w:val="both"/>
            </w:pPr>
            <w:r w:rsidRPr="002B7B3D">
              <w:t>Yleisen PNECin johtaminen</w:t>
            </w:r>
          </w:p>
        </w:tc>
        <w:tc>
          <w:tcPr>
            <w:tcW w:w="888" w:type="pct"/>
          </w:tcPr>
          <w:p w:rsidR="00461EEB" w:rsidRPr="002B7B3D" w:rsidRDefault="00461EEB" w:rsidP="00461EEB">
            <w:pPr>
              <w:jc w:val="both"/>
            </w:pPr>
          </w:p>
        </w:tc>
        <w:tc>
          <w:tcPr>
            <w:tcW w:w="592" w:type="pct"/>
          </w:tcPr>
          <w:p w:rsidR="00461EEB" w:rsidRPr="002B7B3D" w:rsidRDefault="00461EEB" w:rsidP="00461EEB">
            <w:pPr>
              <w:jc w:val="both"/>
            </w:pPr>
          </w:p>
        </w:tc>
        <w:tc>
          <w:tcPr>
            <w:tcW w:w="666" w:type="pct"/>
          </w:tcPr>
          <w:p w:rsidR="00461EEB" w:rsidRPr="002B7B3D" w:rsidRDefault="00461EEB" w:rsidP="00461EEB">
            <w:pPr>
              <w:jc w:val="both"/>
            </w:pPr>
          </w:p>
        </w:tc>
        <w:tc>
          <w:tcPr>
            <w:tcW w:w="741" w:type="pct"/>
          </w:tcPr>
          <w:p w:rsidR="00461EEB" w:rsidRPr="002B7B3D" w:rsidRDefault="00461EEB" w:rsidP="00461EEB">
            <w:pPr>
              <w:jc w:val="both"/>
            </w:pPr>
          </w:p>
        </w:tc>
        <w:tc>
          <w:tcPr>
            <w:tcW w:w="502" w:type="pct"/>
          </w:tcPr>
          <w:p w:rsidR="00461EEB" w:rsidRPr="002B7B3D" w:rsidRDefault="00461EEB" w:rsidP="00461EEB">
            <w:pPr>
              <w:jc w:val="both"/>
            </w:pPr>
          </w:p>
        </w:tc>
      </w:tr>
      <w:tr w:rsidR="00461EEB" w:rsidRPr="002B7B3D" w:rsidTr="00461EEB">
        <w:tc>
          <w:tcPr>
            <w:tcW w:w="797" w:type="pct"/>
          </w:tcPr>
          <w:p w:rsidR="00461EEB" w:rsidRPr="002B7B3D" w:rsidRDefault="00461EEB" w:rsidP="00461EEB">
            <w:pPr>
              <w:jc w:val="both"/>
            </w:pPr>
          </w:p>
        </w:tc>
        <w:tc>
          <w:tcPr>
            <w:tcW w:w="813" w:type="pct"/>
          </w:tcPr>
          <w:p w:rsidR="00461EEB" w:rsidRPr="002B7B3D" w:rsidRDefault="00461EEB" w:rsidP="00461EEB">
            <w:pPr>
              <w:jc w:val="both"/>
            </w:pPr>
            <w:r w:rsidRPr="002B7B3D">
              <w:t>Biosaatavuus korjaus</w:t>
            </w:r>
          </w:p>
        </w:tc>
        <w:tc>
          <w:tcPr>
            <w:tcW w:w="888" w:type="pct"/>
          </w:tcPr>
          <w:p w:rsidR="00461EEB" w:rsidRPr="002B7B3D" w:rsidRDefault="00461EEB" w:rsidP="00461EEB">
            <w:pPr>
              <w:jc w:val="both"/>
            </w:pPr>
          </w:p>
        </w:tc>
        <w:tc>
          <w:tcPr>
            <w:tcW w:w="592" w:type="pct"/>
          </w:tcPr>
          <w:p w:rsidR="00461EEB" w:rsidRPr="002B7B3D" w:rsidRDefault="00461EEB" w:rsidP="00461EEB">
            <w:pPr>
              <w:jc w:val="both"/>
            </w:pPr>
          </w:p>
        </w:tc>
        <w:tc>
          <w:tcPr>
            <w:tcW w:w="666" w:type="pct"/>
          </w:tcPr>
          <w:p w:rsidR="00461EEB" w:rsidRPr="002B7B3D" w:rsidRDefault="00461EEB" w:rsidP="00461EEB">
            <w:pPr>
              <w:jc w:val="both"/>
            </w:pPr>
          </w:p>
        </w:tc>
        <w:tc>
          <w:tcPr>
            <w:tcW w:w="741" w:type="pct"/>
          </w:tcPr>
          <w:p w:rsidR="00461EEB" w:rsidRPr="002B7B3D" w:rsidRDefault="00461EEB" w:rsidP="00461EEB">
            <w:pPr>
              <w:jc w:val="both"/>
            </w:pPr>
          </w:p>
        </w:tc>
        <w:tc>
          <w:tcPr>
            <w:tcW w:w="502" w:type="pct"/>
          </w:tcPr>
          <w:p w:rsidR="00461EEB" w:rsidRPr="002B7B3D" w:rsidRDefault="00461EEB" w:rsidP="00461EEB">
            <w:pPr>
              <w:jc w:val="both"/>
            </w:pPr>
          </w:p>
        </w:tc>
      </w:tr>
    </w:tbl>
    <w:p w:rsidR="00461EEB" w:rsidRPr="002B7B3D" w:rsidRDefault="00461EEB" w:rsidP="00461EEB">
      <w:pPr>
        <w:jc w:val="both"/>
      </w:pPr>
      <w:r w:rsidRPr="002B7B3D">
        <w:tab/>
      </w:r>
    </w:p>
    <w:p w:rsidR="00461EEB" w:rsidRPr="002B7B3D" w:rsidRDefault="00461EEB" w:rsidP="00461EEB">
      <w:pPr>
        <w:pStyle w:val="Heading1"/>
        <w:jc w:val="both"/>
      </w:pPr>
      <w:r w:rsidRPr="002B7B3D">
        <w:lastRenderedPageBreak/>
        <w:t>ARVIOINNIN MUUT SIVUT</w:t>
      </w:r>
    </w:p>
    <w:p w:rsidR="00461EEB" w:rsidRPr="002B7B3D" w:rsidRDefault="00461EEB" w:rsidP="00461EEB">
      <w:pPr>
        <w:jc w:val="both"/>
      </w:pPr>
      <w:r w:rsidRPr="002B7B3D">
        <w:t xml:space="preserve">OSA1: </w:t>
      </w:r>
    </w:p>
    <w:p w:rsidR="00461EEB" w:rsidRPr="002B7B3D" w:rsidRDefault="00461EEB" w:rsidP="00461EEB">
      <w:pPr>
        <w:jc w:val="both"/>
      </w:pPr>
      <w:r w:rsidRPr="002B7B3D">
        <w:t xml:space="preserve">OSA3: </w:t>
      </w:r>
    </w:p>
    <w:p w:rsidR="00461EEB" w:rsidRPr="002B7B3D" w:rsidRDefault="00461EEB" w:rsidP="00461EEB">
      <w:pPr>
        <w:pStyle w:val="Heading1"/>
        <w:jc w:val="both"/>
      </w:pPr>
      <w:r w:rsidRPr="002B7B3D">
        <w:t>KOHDEKOHTAISET TIEDOT ????</w:t>
      </w:r>
    </w:p>
    <w:p w:rsidR="00461EEB" w:rsidRPr="002B7B3D" w:rsidRDefault="00461EEB" w:rsidP="00461EEB">
      <w:pPr>
        <w:jc w:val="both"/>
      </w:pPr>
      <w:r w:rsidRPr="002B7B3D">
        <w:t>Lisää tähän kohdekohtaisia tietoja, joita tarvitaan laskennassa. Korvaa esimerkkisisältö tapau</w:t>
      </w:r>
      <w:r w:rsidRPr="002B7B3D">
        <w:t>s</w:t>
      </w:r>
      <w:r w:rsidRPr="002B7B3D">
        <w:t>kohtaisilla tiedoilla. Voit poistaa ja lisätä rivejä tarpeen mukaan.</w:t>
      </w:r>
    </w:p>
    <w:tbl>
      <w:tblPr>
        <w:tblStyle w:val="TableGrid"/>
        <w:tblW w:w="0" w:type="auto"/>
        <w:tblLook w:val="04A0" w:firstRow="1" w:lastRow="0" w:firstColumn="1" w:lastColumn="0" w:noHBand="0" w:noVBand="1"/>
      </w:tblPr>
      <w:tblGrid>
        <w:gridCol w:w="2660"/>
        <w:gridCol w:w="1559"/>
        <w:gridCol w:w="1256"/>
        <w:gridCol w:w="2101"/>
        <w:gridCol w:w="1823"/>
      </w:tblGrid>
      <w:tr w:rsidR="00461EEB" w:rsidRPr="002B7B3D" w:rsidTr="00461EEB">
        <w:tc>
          <w:tcPr>
            <w:tcW w:w="2660" w:type="dxa"/>
          </w:tcPr>
          <w:p w:rsidR="00461EEB" w:rsidRPr="002B7B3D" w:rsidRDefault="00461EEB" w:rsidP="00461EEB">
            <w:pPr>
              <w:jc w:val="both"/>
            </w:pPr>
            <w:r w:rsidRPr="002B7B3D">
              <w:t xml:space="preserve"> Parametri </w:t>
            </w:r>
          </w:p>
        </w:tc>
        <w:tc>
          <w:tcPr>
            <w:tcW w:w="1559" w:type="dxa"/>
          </w:tcPr>
          <w:p w:rsidR="00461EEB" w:rsidRPr="002B7B3D" w:rsidRDefault="00461EEB" w:rsidP="00461EEB">
            <w:pPr>
              <w:jc w:val="both"/>
            </w:pPr>
            <w:r w:rsidRPr="002B7B3D">
              <w:t xml:space="preserve">Lyhenne </w:t>
            </w:r>
          </w:p>
        </w:tc>
        <w:tc>
          <w:tcPr>
            <w:tcW w:w="1256" w:type="dxa"/>
          </w:tcPr>
          <w:p w:rsidR="00461EEB" w:rsidRPr="002B7B3D" w:rsidRDefault="00461EEB" w:rsidP="00461EEB">
            <w:pPr>
              <w:jc w:val="both"/>
            </w:pPr>
            <w:r w:rsidRPr="002B7B3D">
              <w:t xml:space="preserve">Yksikkö </w:t>
            </w:r>
          </w:p>
        </w:tc>
        <w:tc>
          <w:tcPr>
            <w:tcW w:w="1944" w:type="dxa"/>
          </w:tcPr>
          <w:p w:rsidR="00461EEB" w:rsidRPr="002B7B3D" w:rsidRDefault="00461EEB" w:rsidP="00461EEB">
            <w:pPr>
              <w:jc w:val="both"/>
            </w:pPr>
            <w:r w:rsidRPr="002B7B3D">
              <w:t xml:space="preserve">Arvo </w:t>
            </w:r>
          </w:p>
        </w:tc>
        <w:tc>
          <w:tcPr>
            <w:tcW w:w="1823" w:type="dxa"/>
          </w:tcPr>
          <w:p w:rsidR="00461EEB" w:rsidRPr="002B7B3D" w:rsidRDefault="00461EEB" w:rsidP="00461EEB">
            <w:pPr>
              <w:jc w:val="both"/>
            </w:pPr>
            <w:r w:rsidRPr="002B7B3D">
              <w:t>Kuvaus</w:t>
            </w:r>
          </w:p>
        </w:tc>
      </w:tr>
      <w:tr w:rsidR="00461EEB" w:rsidRPr="002B7B3D" w:rsidTr="00461EEB">
        <w:tc>
          <w:tcPr>
            <w:tcW w:w="2660" w:type="dxa"/>
          </w:tcPr>
          <w:p w:rsidR="00461EEB" w:rsidRPr="002B7B3D" w:rsidRDefault="00461EEB" w:rsidP="00461EEB">
            <w:pPr>
              <w:jc w:val="both"/>
            </w:pPr>
            <w:r w:rsidRPr="002B7B3D">
              <w:t xml:space="preserve">Kaivoksen nimi </w:t>
            </w:r>
          </w:p>
        </w:tc>
        <w:tc>
          <w:tcPr>
            <w:tcW w:w="1559" w:type="dxa"/>
          </w:tcPr>
          <w:p w:rsidR="00461EEB" w:rsidRPr="002B7B3D" w:rsidRDefault="00461EEB" w:rsidP="00461EEB">
            <w:pPr>
              <w:jc w:val="both"/>
            </w:pPr>
            <w:r w:rsidRPr="002B7B3D">
              <w:t xml:space="preserve">nimi </w:t>
            </w:r>
          </w:p>
        </w:tc>
        <w:tc>
          <w:tcPr>
            <w:tcW w:w="1256" w:type="dxa"/>
          </w:tcPr>
          <w:p w:rsidR="00461EEB" w:rsidRPr="002B7B3D" w:rsidRDefault="00461EEB" w:rsidP="00461EEB">
            <w:pPr>
              <w:jc w:val="both"/>
            </w:pPr>
            <w:r w:rsidRPr="002B7B3D">
              <w:t xml:space="preserve">- </w:t>
            </w:r>
          </w:p>
        </w:tc>
        <w:tc>
          <w:tcPr>
            <w:tcW w:w="1944" w:type="dxa"/>
          </w:tcPr>
          <w:p w:rsidR="00461EEB" w:rsidRPr="002B7B3D" w:rsidRDefault="00461EEB" w:rsidP="00461EEB">
            <w:pPr>
              <w:jc w:val="both"/>
            </w:pPr>
            <w:r w:rsidRPr="002B7B3D">
              <w:t xml:space="preserve">Kulta-kaivos </w:t>
            </w:r>
          </w:p>
        </w:tc>
        <w:tc>
          <w:tcPr>
            <w:tcW w:w="1823" w:type="dxa"/>
          </w:tcPr>
          <w:p w:rsidR="00461EEB" w:rsidRPr="002B7B3D" w:rsidRDefault="00461EEB" w:rsidP="00461EEB">
            <w:pPr>
              <w:jc w:val="both"/>
            </w:pPr>
          </w:p>
        </w:tc>
      </w:tr>
      <w:tr w:rsidR="00461EEB" w:rsidRPr="002B7B3D" w:rsidTr="00461EEB">
        <w:tc>
          <w:tcPr>
            <w:tcW w:w="2660" w:type="dxa"/>
          </w:tcPr>
          <w:p w:rsidR="00461EEB" w:rsidRPr="002B7B3D" w:rsidRDefault="00461EEB" w:rsidP="00461EEB">
            <w:pPr>
              <w:jc w:val="both"/>
            </w:pPr>
            <w:r w:rsidRPr="002B7B3D">
              <w:t xml:space="preserve">Pääasiallinen tuote </w:t>
            </w:r>
          </w:p>
        </w:tc>
        <w:tc>
          <w:tcPr>
            <w:tcW w:w="1559" w:type="dxa"/>
          </w:tcPr>
          <w:p w:rsidR="00461EEB" w:rsidRPr="002B7B3D" w:rsidRDefault="00461EEB" w:rsidP="00461EEB">
            <w:pPr>
              <w:jc w:val="both"/>
            </w:pPr>
            <w:r w:rsidRPr="002B7B3D">
              <w:t xml:space="preserve">tuote </w:t>
            </w:r>
          </w:p>
        </w:tc>
        <w:tc>
          <w:tcPr>
            <w:tcW w:w="1256" w:type="dxa"/>
          </w:tcPr>
          <w:p w:rsidR="00461EEB" w:rsidRPr="002B7B3D" w:rsidRDefault="00461EEB" w:rsidP="00461EEB">
            <w:pPr>
              <w:jc w:val="both"/>
            </w:pPr>
            <w:r w:rsidRPr="002B7B3D">
              <w:t xml:space="preserve">- </w:t>
            </w:r>
          </w:p>
        </w:tc>
        <w:tc>
          <w:tcPr>
            <w:tcW w:w="1944" w:type="dxa"/>
          </w:tcPr>
          <w:p w:rsidR="00461EEB" w:rsidRPr="002B7B3D" w:rsidRDefault="00461EEB" w:rsidP="00461EEB">
            <w:pPr>
              <w:jc w:val="both"/>
            </w:pPr>
            <w:r w:rsidRPr="002B7B3D">
              <w:t xml:space="preserve">Kulta </w:t>
            </w:r>
          </w:p>
        </w:tc>
        <w:tc>
          <w:tcPr>
            <w:tcW w:w="1823" w:type="dxa"/>
          </w:tcPr>
          <w:p w:rsidR="00461EEB" w:rsidRPr="002B7B3D" w:rsidRDefault="00461EEB" w:rsidP="00461EEB">
            <w:pPr>
              <w:jc w:val="both"/>
            </w:pPr>
          </w:p>
        </w:tc>
      </w:tr>
      <w:tr w:rsidR="00461EEB" w:rsidRPr="002B7B3D" w:rsidTr="00461EEB">
        <w:tc>
          <w:tcPr>
            <w:tcW w:w="2660" w:type="dxa"/>
          </w:tcPr>
          <w:p w:rsidR="00461EEB" w:rsidRPr="002B7B3D" w:rsidRDefault="00461EEB" w:rsidP="00461EEB">
            <w:pPr>
              <w:jc w:val="both"/>
            </w:pPr>
            <w:r w:rsidRPr="002B7B3D">
              <w:t xml:space="preserve">Sijainti </w:t>
            </w:r>
          </w:p>
        </w:tc>
        <w:tc>
          <w:tcPr>
            <w:tcW w:w="1559" w:type="dxa"/>
          </w:tcPr>
          <w:p w:rsidR="00461EEB" w:rsidRPr="002B7B3D" w:rsidRDefault="00461EEB" w:rsidP="00461EEB">
            <w:pPr>
              <w:jc w:val="both"/>
            </w:pPr>
            <w:r w:rsidRPr="002B7B3D">
              <w:t xml:space="preserve">sijainti </w:t>
            </w:r>
          </w:p>
        </w:tc>
        <w:tc>
          <w:tcPr>
            <w:tcW w:w="1256" w:type="dxa"/>
          </w:tcPr>
          <w:p w:rsidR="00461EEB" w:rsidRPr="002B7B3D" w:rsidRDefault="00461EEB" w:rsidP="00461EEB">
            <w:pPr>
              <w:jc w:val="both"/>
            </w:pPr>
            <w:r w:rsidRPr="002B7B3D">
              <w:t xml:space="preserve">Lo/La </w:t>
            </w:r>
          </w:p>
        </w:tc>
        <w:tc>
          <w:tcPr>
            <w:tcW w:w="1944" w:type="dxa"/>
          </w:tcPr>
          <w:p w:rsidR="00461EEB" w:rsidRPr="002B7B3D" w:rsidRDefault="00461EEB" w:rsidP="00461EEB">
            <w:pPr>
              <w:jc w:val="both"/>
            </w:pPr>
            <w:r w:rsidRPr="002B7B3D">
              <w:t xml:space="preserve">27.12345,63.12345 </w:t>
            </w:r>
          </w:p>
        </w:tc>
        <w:tc>
          <w:tcPr>
            <w:tcW w:w="1823" w:type="dxa"/>
          </w:tcPr>
          <w:p w:rsidR="00461EEB" w:rsidRPr="002B7B3D" w:rsidRDefault="00461EEB" w:rsidP="00461EEB">
            <w:pPr>
              <w:jc w:val="both"/>
            </w:pPr>
          </w:p>
        </w:tc>
      </w:tr>
      <w:tr w:rsidR="00461EEB" w:rsidRPr="002B7B3D" w:rsidTr="00461EEB">
        <w:tc>
          <w:tcPr>
            <w:tcW w:w="2660" w:type="dxa"/>
          </w:tcPr>
          <w:p w:rsidR="00461EEB" w:rsidRPr="002B7B3D" w:rsidRDefault="00461EEB" w:rsidP="00461EEB">
            <w:pPr>
              <w:jc w:val="both"/>
            </w:pPr>
            <w:r w:rsidRPr="002B7B3D">
              <w:t xml:space="preserve">Louhintamäärä </w:t>
            </w:r>
          </w:p>
        </w:tc>
        <w:tc>
          <w:tcPr>
            <w:tcW w:w="1559" w:type="dxa"/>
          </w:tcPr>
          <w:p w:rsidR="00461EEB" w:rsidRPr="002B7B3D" w:rsidRDefault="00461EEB" w:rsidP="00461EEB">
            <w:pPr>
              <w:jc w:val="both"/>
            </w:pPr>
            <w:r w:rsidRPr="002B7B3D">
              <w:t xml:space="preserve">louhinta </w:t>
            </w:r>
          </w:p>
        </w:tc>
        <w:tc>
          <w:tcPr>
            <w:tcW w:w="1256" w:type="dxa"/>
          </w:tcPr>
          <w:p w:rsidR="00461EEB" w:rsidRPr="002B7B3D" w:rsidRDefault="00461EEB" w:rsidP="00461EEB">
            <w:pPr>
              <w:jc w:val="both"/>
            </w:pPr>
            <w:r w:rsidRPr="002B7B3D">
              <w:t xml:space="preserve">Mton /a </w:t>
            </w:r>
          </w:p>
        </w:tc>
        <w:tc>
          <w:tcPr>
            <w:tcW w:w="1944" w:type="dxa"/>
          </w:tcPr>
          <w:p w:rsidR="00461EEB" w:rsidRPr="002B7B3D" w:rsidRDefault="00461EEB" w:rsidP="00461EEB">
            <w:pPr>
              <w:jc w:val="both"/>
            </w:pPr>
            <w:r w:rsidRPr="002B7B3D">
              <w:t xml:space="preserve">100 </w:t>
            </w:r>
          </w:p>
        </w:tc>
        <w:tc>
          <w:tcPr>
            <w:tcW w:w="1823" w:type="dxa"/>
          </w:tcPr>
          <w:p w:rsidR="00461EEB" w:rsidRPr="002B7B3D" w:rsidRDefault="00461EEB" w:rsidP="00461EEB">
            <w:pPr>
              <w:jc w:val="both"/>
            </w:pPr>
          </w:p>
        </w:tc>
      </w:tr>
      <w:tr w:rsidR="00461EEB" w:rsidRPr="002B7B3D" w:rsidTr="00461EEB">
        <w:tc>
          <w:tcPr>
            <w:tcW w:w="2660" w:type="dxa"/>
          </w:tcPr>
          <w:p w:rsidR="00461EEB" w:rsidRPr="002B7B3D" w:rsidRDefault="00461EEB" w:rsidP="00461EEB">
            <w:pPr>
              <w:jc w:val="both"/>
            </w:pPr>
            <w:r w:rsidRPr="002B7B3D">
              <w:t xml:space="preserve">Tuotanto </w:t>
            </w:r>
          </w:p>
        </w:tc>
        <w:tc>
          <w:tcPr>
            <w:tcW w:w="1559" w:type="dxa"/>
          </w:tcPr>
          <w:p w:rsidR="00461EEB" w:rsidRPr="002B7B3D" w:rsidRDefault="00461EEB" w:rsidP="00461EEB">
            <w:pPr>
              <w:jc w:val="both"/>
            </w:pPr>
            <w:r w:rsidRPr="002B7B3D">
              <w:t xml:space="preserve">tuotanto </w:t>
            </w:r>
          </w:p>
        </w:tc>
        <w:tc>
          <w:tcPr>
            <w:tcW w:w="1256" w:type="dxa"/>
          </w:tcPr>
          <w:p w:rsidR="00461EEB" w:rsidRPr="002B7B3D" w:rsidRDefault="00461EEB" w:rsidP="00461EEB">
            <w:pPr>
              <w:jc w:val="both"/>
            </w:pPr>
            <w:r w:rsidRPr="002B7B3D">
              <w:t xml:space="preserve">ton /a </w:t>
            </w:r>
          </w:p>
        </w:tc>
        <w:tc>
          <w:tcPr>
            <w:tcW w:w="1944" w:type="dxa"/>
          </w:tcPr>
          <w:p w:rsidR="00461EEB" w:rsidRPr="002B7B3D" w:rsidRDefault="00461EEB" w:rsidP="00461EEB">
            <w:pPr>
              <w:jc w:val="both"/>
            </w:pPr>
            <w:r w:rsidRPr="002B7B3D">
              <w:t xml:space="preserve">40 </w:t>
            </w:r>
          </w:p>
        </w:tc>
        <w:tc>
          <w:tcPr>
            <w:tcW w:w="1823" w:type="dxa"/>
          </w:tcPr>
          <w:p w:rsidR="00461EEB" w:rsidRPr="002B7B3D" w:rsidRDefault="00461EEB" w:rsidP="00461EEB">
            <w:pPr>
              <w:jc w:val="both"/>
            </w:pPr>
          </w:p>
        </w:tc>
      </w:tr>
    </w:tbl>
    <w:p w:rsidR="00461EEB" w:rsidRPr="002B7B3D" w:rsidRDefault="00461EEB" w:rsidP="00461EEB">
      <w:pPr>
        <w:jc w:val="both"/>
      </w:pPr>
    </w:p>
    <w:p w:rsidR="00461EEB" w:rsidRPr="002B7B3D" w:rsidRDefault="00461EEB" w:rsidP="00461EEB">
      <w:pPr>
        <w:pStyle w:val="Heading1"/>
        <w:jc w:val="both"/>
      </w:pPr>
      <w:r w:rsidRPr="002B7B3D">
        <w:t>LASKENTA</w:t>
      </w:r>
    </w:p>
    <w:p w:rsidR="00461EEB" w:rsidRPr="002B7B3D" w:rsidRDefault="00461EEB" w:rsidP="00461EEB">
      <w:pPr>
        <w:jc w:val="both"/>
      </w:pPr>
      <w:r w:rsidRPr="002B7B3D">
        <w:t>1. ARVIOINTITARPEEN TUNNISTAMINEN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576"/>
      </w:tblGrid>
      <w:tr w:rsidR="00461EEB" w:rsidRPr="00461EEB" w:rsidTr="00461EEB">
        <w:tc>
          <w:tcPr>
            <w:tcW w:w="5000" w:type="pct"/>
            <w:shd w:val="clear" w:color="auto" w:fill="EEECE1" w:themeFill="background2"/>
          </w:tcPr>
          <w:p w:rsidR="00461EEB" w:rsidRPr="00B740BB" w:rsidRDefault="00461EEB" w:rsidP="00461EEB">
            <w:pPr>
              <w:jc w:val="center"/>
              <w:rPr>
                <w:lang w:val="en-US"/>
              </w:rPr>
            </w:pPr>
          </w:p>
        </w:tc>
      </w:tr>
      <w:tr w:rsidR="00461EEB" w:rsidRPr="00B740BB" w:rsidTr="00461EEB">
        <w:tc>
          <w:tcPr>
            <w:tcW w:w="5000" w:type="pct"/>
            <w:shd w:val="clear" w:color="auto" w:fill="auto"/>
          </w:tcPr>
          <w:p w:rsidR="00461EEB" w:rsidRPr="00B740BB" w:rsidRDefault="00461EEB" w:rsidP="00461EEB">
            <w:pPr>
              <w:jc w:val="both"/>
              <w:rPr>
                <w:lang w:val="en-US"/>
              </w:rPr>
            </w:pPr>
          </w:p>
        </w:tc>
      </w:tr>
    </w:tbl>
    <w:p w:rsidR="00461EEB" w:rsidRDefault="00461EEB" w:rsidP="00461EEB">
      <w:pPr>
        <w:jc w:val="both"/>
      </w:pPr>
      <w:r w:rsidRPr="002B7B3D">
        <w:t>2. PERUSARVIOINTI</w:t>
      </w:r>
    </w:p>
    <w:p w:rsidR="00461EEB" w:rsidRDefault="00461EEB" w:rsidP="00461EEB">
      <w:pPr>
        <w:jc w:val="both"/>
      </w:pPr>
      <w:r>
        <w:t>Sedimentin metallipitoisuuksien normalisointi standardisedimentin pitoisuuksiksi</w:t>
      </w:r>
    </w:p>
    <w:p w:rsidR="00461EEB" w:rsidRDefault="00461EEB" w:rsidP="00461EEB">
      <w:pPr>
        <w:shd w:val="clear" w:color="auto" w:fill="EEECE1" w:themeFill="background2"/>
        <w:jc w:val="center"/>
      </w:pPr>
      <w:r>
        <w:t>Ckorj.= C (mg/kg k.a.) ×  ((a+b×25+ c×10))/((a+b×savi(%)+C×orgaaninen aines(%)))</w:t>
      </w:r>
    </w:p>
    <w:p w:rsidR="00461EEB" w:rsidRDefault="00461EEB" w:rsidP="00461EEB">
      <w:pPr>
        <w:jc w:val="both"/>
      </w:pPr>
      <w:r>
        <w:t>Sedimentin haitta-aineen vaarasuhde (HQ)- ruoppausmassojen laatukriteeri</w:t>
      </w:r>
    </w:p>
    <w:p w:rsidR="00461EEB" w:rsidRDefault="00461EEB" w:rsidP="00461EEB">
      <w:pPr>
        <w:shd w:val="clear" w:color="auto" w:fill="EEECE1" w:themeFill="background2"/>
        <w:jc w:val="center"/>
      </w:pPr>
      <w:r>
        <w:t>HQsediment = Csediment korj. (mg/kg k.a)/ ruoppausmassojen laatukriteeri (mg/kg k.a)</w:t>
      </w:r>
    </w:p>
    <w:p w:rsidR="00461EEB" w:rsidRDefault="00461EEB" w:rsidP="00461EEB">
      <w:pPr>
        <w:jc w:val="both"/>
      </w:pPr>
      <w:r>
        <w:t>Sedimentin haitta-aineen vaarasuhde HQ - PIMA ohjearvot maaperän pilaantuneisuudelle</w:t>
      </w:r>
    </w:p>
    <w:p w:rsidR="00461EEB" w:rsidRDefault="00461EEB" w:rsidP="00461EEB">
      <w:pPr>
        <w:shd w:val="clear" w:color="auto" w:fill="EEECE1" w:themeFill="background2"/>
        <w:jc w:val="center"/>
      </w:pPr>
      <w:r w:rsidRPr="0015179E">
        <w:rPr>
          <w:lang w:val="en-US"/>
        </w:rPr>
        <w:t xml:space="preserve">HQsediment = total Csediment (mg/kg k.a.)/ </w:t>
      </w:r>
      <w:r>
        <w:t>PIMA ohje-arvot (mg/kg k.a.)</w:t>
      </w:r>
    </w:p>
    <w:p w:rsidR="00461EEB" w:rsidRDefault="00461EEB" w:rsidP="00461EEB">
      <w:pPr>
        <w:jc w:val="both"/>
      </w:pPr>
    </w:p>
    <w:p w:rsidR="00461EEB" w:rsidRPr="002B7B3D" w:rsidRDefault="00461EEB" w:rsidP="00461EEB">
      <w:pPr>
        <w:jc w:val="both"/>
      </w:pPr>
      <w:r w:rsidRPr="002B7B3D">
        <w:t xml:space="preserve">3. TARKENNETTU ARVIOINTI </w:t>
      </w:r>
    </w:p>
    <w:p w:rsidR="00B8624E" w:rsidRDefault="00B8624E" w:rsidP="00461EEB">
      <w:pPr>
        <w:jc w:val="both"/>
      </w:pPr>
      <w:r>
        <w:t xml:space="preserve">Vaihe 1: Kd-jakautumiskertoimen määrittäminen </w:t>
      </w:r>
    </w:p>
    <w:p w:rsidR="00461EEB" w:rsidRDefault="00461EEB" w:rsidP="00461EEB">
      <w:pPr>
        <w:jc w:val="both"/>
      </w:pPr>
      <w:r>
        <w:t>Kd-jakautumiskertoimen määrittäminen sedimentin ja huokosveden metallipitoisuuden tas</w:t>
      </w:r>
      <w:r>
        <w:t>a</w:t>
      </w:r>
      <w:r>
        <w:t>painosuhteesta:</w:t>
      </w:r>
    </w:p>
    <w:p w:rsidR="00461EEB" w:rsidRPr="0015179E" w:rsidRDefault="00461EEB" w:rsidP="00461EEB">
      <w:pPr>
        <w:shd w:val="clear" w:color="auto" w:fill="EEECE1" w:themeFill="background2"/>
        <w:jc w:val="center"/>
        <w:rPr>
          <w:lang w:val="en-US"/>
        </w:rPr>
      </w:pPr>
      <w:r w:rsidRPr="0015179E">
        <w:rPr>
          <w:lang w:val="en-US"/>
        </w:rPr>
        <w:lastRenderedPageBreak/>
        <w:t>Kd= Cs (mg/kg dw)⁄Caq (mg/L)</w:t>
      </w:r>
    </w:p>
    <w:p w:rsidR="00461EEB" w:rsidRDefault="00461EEB" w:rsidP="00461EEB">
      <w:pPr>
        <w:jc w:val="both"/>
      </w:pPr>
      <w:r>
        <w:t>PNECin johtaminen Kd –jakautumiskerrointa käyttämällä</w:t>
      </w:r>
    </w:p>
    <w:p w:rsidR="00461EEB" w:rsidRPr="00461EEB" w:rsidRDefault="00461EEB" w:rsidP="00461EEB">
      <w:pPr>
        <w:shd w:val="clear" w:color="auto" w:fill="EEECE1" w:themeFill="background2"/>
        <w:jc w:val="center"/>
      </w:pPr>
      <w:r w:rsidRPr="00461EEB">
        <w:t>PNECsediment (mg/kg) = PNECfreshwater (mg/L)* Kd( L/kg)</w:t>
      </w:r>
    </w:p>
    <w:p w:rsidR="00461EEB" w:rsidRPr="00461EEB" w:rsidRDefault="00461EEB" w:rsidP="00461EEB">
      <w:pPr>
        <w:jc w:val="both"/>
      </w:pPr>
    </w:p>
    <w:p w:rsidR="00B8624E" w:rsidRDefault="00B8624E" w:rsidP="00B8624E">
      <w:pPr>
        <w:jc w:val="both"/>
      </w:pPr>
      <w:r>
        <w:t>Vaihe 2: Yleinen PNEC -arvo sedimenteille</w:t>
      </w:r>
    </w:p>
    <w:p w:rsidR="00B8624E" w:rsidRDefault="00B8624E" w:rsidP="00B8624E">
      <w:pPr>
        <w:jc w:val="both"/>
      </w:pPr>
      <w:r>
        <w:t>Vaihe 3: Biosaatavuuserojen korjaus: kohdekohtaisen PNEC -arvon johtaminen</w:t>
      </w:r>
    </w:p>
    <w:p w:rsidR="00461EEB" w:rsidRPr="002B7B3D" w:rsidRDefault="00461EEB" w:rsidP="00461EEB">
      <w:pPr>
        <w:jc w:val="both"/>
      </w:pPr>
    </w:p>
    <w:p w:rsidR="00461EEB" w:rsidRPr="00B8624E" w:rsidRDefault="00461EEB" w:rsidP="00461EEB">
      <w:pPr>
        <w:jc w:val="both"/>
      </w:pPr>
    </w:p>
    <w:p w:rsidR="00461EEB" w:rsidRPr="00B740BB" w:rsidRDefault="00461EEB" w:rsidP="00461EEB">
      <w:pPr>
        <w:pStyle w:val="Heading1"/>
        <w:jc w:val="both"/>
      </w:pPr>
      <w:r w:rsidRPr="00B740BB">
        <w:t>VIITTEET</w:t>
      </w:r>
    </w:p>
    <w:p w:rsidR="00461EEB" w:rsidRPr="002B7B3D" w:rsidRDefault="00461EEB" w:rsidP="00461EEB">
      <w:pPr>
        <w:jc w:val="both"/>
      </w:pPr>
    </w:p>
    <w:p w:rsidR="001D5D2A" w:rsidRPr="00C914E3" w:rsidRDefault="001D5D2A" w:rsidP="003A6131">
      <w:pPr>
        <w:jc w:val="both"/>
      </w:pPr>
    </w:p>
    <w:sectPr w:rsidR="001D5D2A" w:rsidRPr="00C914E3" w:rsidSect="002724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3B9"/>
    <w:multiLevelType w:val="hybridMultilevel"/>
    <w:tmpl w:val="CE2618DE"/>
    <w:lvl w:ilvl="0" w:tplc="D9FC4288">
      <w:start w:val="2"/>
      <w:numFmt w:val="bullet"/>
      <w:lvlText w:val="-"/>
      <w:lvlJc w:val="left"/>
      <w:pPr>
        <w:ind w:left="1664" w:hanging="360"/>
      </w:pPr>
      <w:rPr>
        <w:rFonts w:ascii="Calibri" w:eastAsiaTheme="minorHAnsi" w:hAnsi="Calibri"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66"/>
    <w:rsid w:val="00011F5A"/>
    <w:rsid w:val="00172069"/>
    <w:rsid w:val="00181166"/>
    <w:rsid w:val="001D5D2A"/>
    <w:rsid w:val="0027242B"/>
    <w:rsid w:val="002E4FE2"/>
    <w:rsid w:val="003471C1"/>
    <w:rsid w:val="003A6131"/>
    <w:rsid w:val="003E4C3E"/>
    <w:rsid w:val="00461EEB"/>
    <w:rsid w:val="005741CD"/>
    <w:rsid w:val="005830CA"/>
    <w:rsid w:val="00696FF3"/>
    <w:rsid w:val="006D2B06"/>
    <w:rsid w:val="007C21B0"/>
    <w:rsid w:val="00801898"/>
    <w:rsid w:val="009D07DF"/>
    <w:rsid w:val="00B8624E"/>
    <w:rsid w:val="00C914E3"/>
    <w:rsid w:val="00FD36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E3"/>
    <w:rPr>
      <w:rFonts w:cs="Times New Roman"/>
      <w:sz w:val="24"/>
      <w:szCs w:val="24"/>
    </w:rPr>
  </w:style>
  <w:style w:type="paragraph" w:styleId="Heading1">
    <w:name w:val="heading 1"/>
    <w:basedOn w:val="Normal"/>
    <w:next w:val="Normal"/>
    <w:link w:val="Heading1Char"/>
    <w:uiPriority w:val="9"/>
    <w:qFormat/>
    <w:rsid w:val="00181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166"/>
    <w:pPr>
      <w:spacing w:before="100" w:beforeAutospacing="1" w:after="100" w:afterAutospacing="1" w:line="240" w:lineRule="auto"/>
      <w:jc w:val="both"/>
      <w:outlineLvl w:val="1"/>
    </w:pPr>
    <w:rPr>
      <w:rFonts w:eastAsia="Times New Roman"/>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166"/>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81166"/>
    <w:rPr>
      <w:rFonts w:ascii="Times New Roman" w:eastAsia="Times New Roman" w:hAnsi="Times New Roman" w:cs="Times New Roman"/>
      <w:b/>
      <w:bCs/>
      <w:sz w:val="24"/>
      <w:szCs w:val="36"/>
      <w:lang w:val="en-US"/>
    </w:rPr>
  </w:style>
  <w:style w:type="table" w:styleId="TableGrid">
    <w:name w:val="Table Grid"/>
    <w:basedOn w:val="TableNormal"/>
    <w:uiPriority w:val="59"/>
    <w:rsid w:val="00181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66"/>
    <w:rPr>
      <w:rFonts w:ascii="Tahoma" w:hAnsi="Tahoma" w:cs="Tahoma"/>
      <w:sz w:val="16"/>
      <w:szCs w:val="16"/>
      <w:lang w:val="en-US"/>
    </w:rPr>
  </w:style>
  <w:style w:type="paragraph" w:styleId="ListParagraph">
    <w:name w:val="List Paragraph"/>
    <w:basedOn w:val="Normal"/>
    <w:uiPriority w:val="34"/>
    <w:qFormat/>
    <w:rsid w:val="00C914E3"/>
    <w:pPr>
      <w:ind w:left="720"/>
      <w:contextualSpacing/>
    </w:pPr>
  </w:style>
  <w:style w:type="character" w:styleId="CommentReference">
    <w:name w:val="annotation reference"/>
    <w:basedOn w:val="DefaultParagraphFont"/>
    <w:uiPriority w:val="99"/>
    <w:semiHidden/>
    <w:unhideWhenUsed/>
    <w:rsid w:val="003A6131"/>
    <w:rPr>
      <w:sz w:val="16"/>
      <w:szCs w:val="16"/>
    </w:rPr>
  </w:style>
  <w:style w:type="paragraph" w:styleId="CommentText">
    <w:name w:val="annotation text"/>
    <w:basedOn w:val="Normal"/>
    <w:link w:val="CommentTextChar"/>
    <w:uiPriority w:val="99"/>
    <w:semiHidden/>
    <w:unhideWhenUsed/>
    <w:rsid w:val="003A6131"/>
    <w:pPr>
      <w:spacing w:line="240" w:lineRule="auto"/>
    </w:pPr>
    <w:rPr>
      <w:sz w:val="20"/>
      <w:szCs w:val="20"/>
    </w:rPr>
  </w:style>
  <w:style w:type="character" w:customStyle="1" w:styleId="CommentTextChar">
    <w:name w:val="Comment Text Char"/>
    <w:basedOn w:val="DefaultParagraphFont"/>
    <w:link w:val="CommentText"/>
    <w:uiPriority w:val="99"/>
    <w:semiHidden/>
    <w:rsid w:val="003A6131"/>
    <w:rPr>
      <w:rFonts w:cs="Times New Roman"/>
      <w:sz w:val="20"/>
      <w:szCs w:val="20"/>
    </w:rPr>
  </w:style>
  <w:style w:type="paragraph" w:styleId="CommentSubject">
    <w:name w:val="annotation subject"/>
    <w:basedOn w:val="CommentText"/>
    <w:next w:val="CommentText"/>
    <w:link w:val="CommentSubjectChar"/>
    <w:uiPriority w:val="99"/>
    <w:semiHidden/>
    <w:unhideWhenUsed/>
    <w:rsid w:val="003A6131"/>
    <w:rPr>
      <w:b/>
      <w:bCs/>
    </w:rPr>
  </w:style>
  <w:style w:type="character" w:customStyle="1" w:styleId="CommentSubjectChar">
    <w:name w:val="Comment Subject Char"/>
    <w:basedOn w:val="CommentTextChar"/>
    <w:link w:val="CommentSubject"/>
    <w:uiPriority w:val="99"/>
    <w:semiHidden/>
    <w:rsid w:val="003A6131"/>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E3"/>
    <w:rPr>
      <w:rFonts w:cs="Times New Roman"/>
      <w:sz w:val="24"/>
      <w:szCs w:val="24"/>
    </w:rPr>
  </w:style>
  <w:style w:type="paragraph" w:styleId="Heading1">
    <w:name w:val="heading 1"/>
    <w:basedOn w:val="Normal"/>
    <w:next w:val="Normal"/>
    <w:link w:val="Heading1Char"/>
    <w:uiPriority w:val="9"/>
    <w:qFormat/>
    <w:rsid w:val="00181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166"/>
    <w:pPr>
      <w:spacing w:before="100" w:beforeAutospacing="1" w:after="100" w:afterAutospacing="1" w:line="240" w:lineRule="auto"/>
      <w:jc w:val="both"/>
      <w:outlineLvl w:val="1"/>
    </w:pPr>
    <w:rPr>
      <w:rFonts w:eastAsia="Times New Roman"/>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166"/>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81166"/>
    <w:rPr>
      <w:rFonts w:ascii="Times New Roman" w:eastAsia="Times New Roman" w:hAnsi="Times New Roman" w:cs="Times New Roman"/>
      <w:b/>
      <w:bCs/>
      <w:sz w:val="24"/>
      <w:szCs w:val="36"/>
      <w:lang w:val="en-US"/>
    </w:rPr>
  </w:style>
  <w:style w:type="table" w:styleId="TableGrid">
    <w:name w:val="Table Grid"/>
    <w:basedOn w:val="TableNormal"/>
    <w:uiPriority w:val="59"/>
    <w:rsid w:val="00181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66"/>
    <w:rPr>
      <w:rFonts w:ascii="Tahoma" w:hAnsi="Tahoma" w:cs="Tahoma"/>
      <w:sz w:val="16"/>
      <w:szCs w:val="16"/>
      <w:lang w:val="en-US"/>
    </w:rPr>
  </w:style>
  <w:style w:type="paragraph" w:styleId="ListParagraph">
    <w:name w:val="List Paragraph"/>
    <w:basedOn w:val="Normal"/>
    <w:uiPriority w:val="34"/>
    <w:qFormat/>
    <w:rsid w:val="00C914E3"/>
    <w:pPr>
      <w:ind w:left="720"/>
      <w:contextualSpacing/>
    </w:pPr>
  </w:style>
  <w:style w:type="character" w:styleId="CommentReference">
    <w:name w:val="annotation reference"/>
    <w:basedOn w:val="DefaultParagraphFont"/>
    <w:uiPriority w:val="99"/>
    <w:semiHidden/>
    <w:unhideWhenUsed/>
    <w:rsid w:val="003A6131"/>
    <w:rPr>
      <w:sz w:val="16"/>
      <w:szCs w:val="16"/>
    </w:rPr>
  </w:style>
  <w:style w:type="paragraph" w:styleId="CommentText">
    <w:name w:val="annotation text"/>
    <w:basedOn w:val="Normal"/>
    <w:link w:val="CommentTextChar"/>
    <w:uiPriority w:val="99"/>
    <w:semiHidden/>
    <w:unhideWhenUsed/>
    <w:rsid w:val="003A6131"/>
    <w:pPr>
      <w:spacing w:line="240" w:lineRule="auto"/>
    </w:pPr>
    <w:rPr>
      <w:sz w:val="20"/>
      <w:szCs w:val="20"/>
    </w:rPr>
  </w:style>
  <w:style w:type="character" w:customStyle="1" w:styleId="CommentTextChar">
    <w:name w:val="Comment Text Char"/>
    <w:basedOn w:val="DefaultParagraphFont"/>
    <w:link w:val="CommentText"/>
    <w:uiPriority w:val="99"/>
    <w:semiHidden/>
    <w:rsid w:val="003A6131"/>
    <w:rPr>
      <w:rFonts w:cs="Times New Roman"/>
      <w:sz w:val="20"/>
      <w:szCs w:val="20"/>
    </w:rPr>
  </w:style>
  <w:style w:type="paragraph" w:styleId="CommentSubject">
    <w:name w:val="annotation subject"/>
    <w:basedOn w:val="CommentText"/>
    <w:next w:val="CommentText"/>
    <w:link w:val="CommentSubjectChar"/>
    <w:uiPriority w:val="99"/>
    <w:semiHidden/>
    <w:unhideWhenUsed/>
    <w:rsid w:val="003A6131"/>
    <w:rPr>
      <w:b/>
      <w:bCs/>
    </w:rPr>
  </w:style>
  <w:style w:type="character" w:customStyle="1" w:styleId="CommentSubjectChar">
    <w:name w:val="Comment Subject Char"/>
    <w:basedOn w:val="CommentTextChar"/>
    <w:link w:val="CommentSubject"/>
    <w:uiPriority w:val="99"/>
    <w:semiHidden/>
    <w:rsid w:val="003A613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1623</Words>
  <Characters>13148</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Eastern Finland</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Katariina Koikkalainen</dc:creator>
  <cp:lastModifiedBy>Hiltunen Laura</cp:lastModifiedBy>
  <cp:revision>2</cp:revision>
  <dcterms:created xsi:type="dcterms:W3CDTF">2014-02-27T10:46:00Z</dcterms:created>
  <dcterms:modified xsi:type="dcterms:W3CDTF">2014-02-27T10:46:00Z</dcterms:modified>
</cp:coreProperties>
</file>